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6B577" w14:textId="57134786" w:rsidR="00405E0D" w:rsidRPr="000F0716" w:rsidRDefault="00381171" w:rsidP="00405E0D">
      <w:pPr>
        <w:pStyle w:val="CRCoverPage"/>
        <w:tabs>
          <w:tab w:val="right" w:pos="9639"/>
        </w:tabs>
        <w:spacing w:before="120" w:after="0"/>
        <w:rPr>
          <w:b/>
          <w:noProof/>
          <w:sz w:val="24"/>
          <w:lang w:eastAsia="zh-CN"/>
        </w:rPr>
      </w:pPr>
      <w:r>
        <w:rPr>
          <w:b/>
          <w:bCs/>
          <w:noProof/>
          <w:sz w:val="24"/>
          <w:lang w:eastAsia="zh-CN"/>
        </w:rPr>
        <w:t>3</w:t>
      </w:r>
      <w:r w:rsidR="00405E0D" w:rsidRPr="000B2FD5">
        <w:rPr>
          <w:b/>
          <w:bCs/>
          <w:noProof/>
          <w:sz w:val="24"/>
          <w:lang w:eastAsia="zh-CN"/>
        </w:rPr>
        <w:t>GPP</w:t>
      </w:r>
      <w:r w:rsidR="00405E0D">
        <w:rPr>
          <w:rFonts w:cs="SimHei"/>
          <w:b/>
          <w:sz w:val="24"/>
          <w:szCs w:val="24"/>
        </w:rPr>
        <w:t xml:space="preserve"> TSG-</w:t>
      </w:r>
      <w:bookmarkStart w:id="0" w:name="OLE_LINK198"/>
      <w:bookmarkStart w:id="1" w:name="OLE_LINK199"/>
      <w:r w:rsidR="00405E0D">
        <w:rPr>
          <w:rFonts w:cs="SimHei"/>
          <w:b/>
          <w:sz w:val="24"/>
          <w:szCs w:val="24"/>
        </w:rPr>
        <w:t>RAN WG2 Meeting</w:t>
      </w:r>
      <w:bookmarkEnd w:id="0"/>
      <w:bookmarkEnd w:id="1"/>
      <w:r w:rsidR="00405E0D">
        <w:rPr>
          <w:rFonts w:cs="SimHei"/>
          <w:b/>
          <w:sz w:val="24"/>
          <w:szCs w:val="24"/>
        </w:rPr>
        <w:t xml:space="preserve"> </w:t>
      </w:r>
      <w:r w:rsidR="00405E0D" w:rsidRPr="00E94B97">
        <w:rPr>
          <w:rFonts w:cs="SimHei"/>
          <w:b/>
          <w:sz w:val="24"/>
          <w:szCs w:val="24"/>
        </w:rPr>
        <w:t>#</w:t>
      </w:r>
      <w:r w:rsidR="00405E0D">
        <w:rPr>
          <w:rFonts w:cs="SimHei"/>
          <w:b/>
          <w:sz w:val="24"/>
          <w:szCs w:val="24"/>
        </w:rPr>
        <w:t>12</w:t>
      </w:r>
      <w:r>
        <w:rPr>
          <w:rFonts w:cs="SimHei"/>
          <w:b/>
          <w:sz w:val="24"/>
          <w:szCs w:val="24"/>
        </w:rPr>
        <w:t>2</w:t>
      </w:r>
      <w:r w:rsidR="00405E0D">
        <w:rPr>
          <w:b/>
          <w:noProof/>
          <w:sz w:val="24"/>
        </w:rPr>
        <w:t xml:space="preserve">          </w:t>
      </w:r>
      <w:r w:rsidR="00405E0D">
        <w:rPr>
          <w:b/>
          <w:noProof/>
          <w:sz w:val="24"/>
        </w:rPr>
        <w:tab/>
        <w:t xml:space="preserve">          </w:t>
      </w:r>
      <w:r w:rsidR="00D20113" w:rsidRPr="00D20113">
        <w:rPr>
          <w:rFonts w:eastAsia="Malgun Gothic"/>
          <w:b/>
          <w:bCs/>
          <w:sz w:val="24"/>
          <w:szCs w:val="24"/>
          <w:lang w:eastAsia="zh-CN"/>
        </w:rPr>
        <w:t>R2-2305976</w:t>
      </w:r>
    </w:p>
    <w:p w14:paraId="0D5BE975" w14:textId="77777777" w:rsidR="00381171" w:rsidRDefault="00381171" w:rsidP="00381171">
      <w:pPr>
        <w:pStyle w:val="CRCoverPage"/>
        <w:outlineLvl w:val="0"/>
        <w:rPr>
          <w:b/>
          <w:sz w:val="24"/>
        </w:rPr>
      </w:pPr>
      <w:r>
        <w:rPr>
          <w:b/>
          <w:sz w:val="24"/>
        </w:rPr>
        <w:t>Incheon, Korea, 22 – 26 May, 2023</w:t>
      </w:r>
    </w:p>
    <w:p w14:paraId="6F655869" w14:textId="430E0ED5"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2421216"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D7B28">
        <w:rPr>
          <w:rFonts w:ascii="Arial" w:eastAsia="Arial Unicode MS" w:hAnsi="Arial" w:cs="Arial"/>
          <w:b/>
          <w:bCs/>
          <w:kern w:val="0"/>
          <w:sz w:val="24"/>
          <w:szCs w:val="20"/>
          <w:lang w:val="en-GB"/>
        </w:rPr>
        <w:t xml:space="preserve">Discussion on the inter-node coordination issue for NR </w:t>
      </w:r>
      <w:r w:rsidR="001A4395">
        <w:rPr>
          <w:rFonts w:ascii="Arial" w:eastAsia="Arial Unicode MS" w:hAnsi="Arial" w:cs="Arial"/>
          <w:b/>
          <w:bCs/>
          <w:kern w:val="0"/>
          <w:sz w:val="24"/>
          <w:szCs w:val="20"/>
          <w:lang w:val="en-GB"/>
        </w:rPr>
        <w:t>I</w:t>
      </w:r>
      <w:r w:rsidR="00FD7B28">
        <w:rPr>
          <w:rFonts w:ascii="Arial" w:eastAsia="Arial Unicode MS" w:hAnsi="Arial" w:cs="Arial"/>
          <w:b/>
          <w:bCs/>
          <w:kern w:val="0"/>
          <w:sz w:val="24"/>
          <w:szCs w:val="20"/>
          <w:lang w:val="en-GB"/>
        </w:rPr>
        <w:t>DC</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4A1EB669"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381171">
        <w:rPr>
          <w:rFonts w:ascii="Arial" w:eastAsia="MS Mincho" w:hAnsi="Arial" w:cs="Arial"/>
          <w:b/>
          <w:bCs/>
          <w:kern w:val="0"/>
          <w:sz w:val="24"/>
          <w:szCs w:val="20"/>
          <w:lang w:val="en-GB" w:eastAsia="en-US"/>
        </w:rPr>
        <w:t>7</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8A6979">
      <w:pPr>
        <w:pStyle w:val="Heading1"/>
        <w:numPr>
          <w:ilvl w:val="0"/>
          <w:numId w:val="10"/>
        </w:numPr>
      </w:pPr>
      <w:r>
        <w:rPr>
          <w:lang w:eastAsia="zh-CN"/>
        </w:rPr>
        <w:t>Introduction</w:t>
      </w:r>
    </w:p>
    <w:p w14:paraId="286AE990" w14:textId="050136D1" w:rsidR="00FD7B28" w:rsidRDefault="00405E0D" w:rsidP="00405E0D">
      <w:r>
        <w:t xml:space="preserve">In </w:t>
      </w:r>
      <w:r w:rsidR="00381171">
        <w:t xml:space="preserve">the past </w:t>
      </w:r>
      <w:r>
        <w:t xml:space="preserve">RAN 2 </w:t>
      </w:r>
      <w:r w:rsidR="00381171">
        <w:t>meeting we had made good progress and agreed the</w:t>
      </w:r>
      <w:r w:rsidR="000153AA">
        <w:t xml:space="preserve"> </w:t>
      </w:r>
      <w:r w:rsidR="00EB6DDA">
        <w:t>basic</w:t>
      </w:r>
      <w:r w:rsidR="00381171">
        <w:t xml:space="preserve"> details </w:t>
      </w:r>
      <w:r w:rsidR="00381171" w:rsidRPr="00381171">
        <w:t>for NR IDC</w:t>
      </w:r>
      <w:r w:rsidR="00381171">
        <w:t xml:space="preserve">. </w:t>
      </w:r>
      <w:r w:rsidR="00FD7B28">
        <w:t>One big remaining issue</w:t>
      </w:r>
      <w:r w:rsidR="00EA0546">
        <w:t xml:space="preserve"> for IDC Enhancement WI</w:t>
      </w:r>
      <w:r w:rsidR="00FD7B28">
        <w:t xml:space="preserve"> is the inter-node coordination for both FDM solution and TDM solution</w:t>
      </w:r>
      <w:r w:rsidR="00635683">
        <w:t xml:space="preserve"> [1]</w:t>
      </w:r>
      <w:r w:rsidR="00FD7B28">
        <w:t xml:space="preserve">. In this paper, we further discuss the inter-node coordination issue. </w:t>
      </w:r>
      <w:r w:rsidR="00FD7B28">
        <w:rPr>
          <w:szCs w:val="21"/>
        </w:rPr>
        <w:t xml:space="preserve">Since RAN2 has agreed that no specification change for LTE, the EN-DC case is clear. </w:t>
      </w:r>
      <w:proofErr w:type="gramStart"/>
      <w:r w:rsidR="00D20113">
        <w:rPr>
          <w:szCs w:val="21"/>
        </w:rPr>
        <w:t>Hence</w:t>
      </w:r>
      <w:proofErr w:type="gramEnd"/>
      <w:r w:rsidR="00FD7B28">
        <w:rPr>
          <w:szCs w:val="21"/>
        </w:rPr>
        <w:t xml:space="preserve"> we only focus on the NR-DC case </w:t>
      </w:r>
      <w:r w:rsidR="00C13F81">
        <w:rPr>
          <w:szCs w:val="21"/>
        </w:rPr>
        <w:t>in this paper</w:t>
      </w:r>
      <w:r w:rsidR="00FD7B28">
        <w:rPr>
          <w:szCs w:val="21"/>
        </w:rPr>
        <w:t>.</w:t>
      </w:r>
    </w:p>
    <w:p w14:paraId="4B5A86F9" w14:textId="35A79E9D" w:rsidR="004D566E" w:rsidRDefault="00633770" w:rsidP="002877F4">
      <w:pPr>
        <w:pStyle w:val="Heading1"/>
        <w:numPr>
          <w:ilvl w:val="0"/>
          <w:numId w:val="10"/>
        </w:numPr>
      </w:pPr>
      <w:r>
        <w:t>Discussion</w:t>
      </w:r>
    </w:p>
    <w:p w14:paraId="3998B6DC" w14:textId="5590EAD8" w:rsidR="00155AC9" w:rsidRDefault="00155AC9" w:rsidP="00155AC9">
      <w:pPr>
        <w:pStyle w:val="Heading2"/>
      </w:pPr>
      <w:r>
        <w:rPr>
          <w:rFonts w:hint="eastAsia"/>
        </w:rPr>
        <w:t>2</w:t>
      </w:r>
      <w:r>
        <w:t xml:space="preserve">.1 </w:t>
      </w:r>
      <w:r w:rsidR="00474110">
        <w:t>Inter</w:t>
      </w:r>
      <w:r w:rsidR="00226D73">
        <w:t>-n</w:t>
      </w:r>
      <w:r w:rsidR="00474110">
        <w:t>ode coordination for FDM solution enhancements</w:t>
      </w:r>
      <w:r>
        <w:t xml:space="preserve"> </w:t>
      </w:r>
    </w:p>
    <w:p w14:paraId="20843E13" w14:textId="11ECA173" w:rsidR="00474110" w:rsidRDefault="00474110" w:rsidP="00474110">
      <w:pPr>
        <w:rPr>
          <w:szCs w:val="21"/>
        </w:rPr>
      </w:pPr>
      <w:r>
        <w:rPr>
          <w:rFonts w:hint="eastAsia"/>
          <w:szCs w:val="21"/>
        </w:rPr>
        <w:t>C</w:t>
      </w:r>
      <w:r>
        <w:rPr>
          <w:szCs w:val="21"/>
        </w:rPr>
        <w:t xml:space="preserve">onsidering there are </w:t>
      </w:r>
      <w:r w:rsidR="00C13F81">
        <w:rPr>
          <w:szCs w:val="21"/>
        </w:rPr>
        <w:t>several</w:t>
      </w:r>
      <w:r>
        <w:rPr>
          <w:szCs w:val="21"/>
        </w:rPr>
        <w:t xml:space="preserve"> cases for the IDC issue in case the UE is configured with MR-DC, we list the possible cases</w:t>
      </w:r>
      <w:r w:rsidR="00C13F81">
        <w:rPr>
          <w:szCs w:val="21"/>
        </w:rPr>
        <w:t>/scenarios giving the details of the Network Configuration and UE Reporting</w:t>
      </w:r>
      <w:r>
        <w:rPr>
          <w:szCs w:val="21"/>
        </w:rPr>
        <w:t xml:space="preserve"> and </w:t>
      </w:r>
      <w:r w:rsidR="00C13F81">
        <w:rPr>
          <w:szCs w:val="21"/>
        </w:rPr>
        <w:t xml:space="preserve">provide </w:t>
      </w:r>
      <w:r>
        <w:rPr>
          <w:szCs w:val="21"/>
        </w:rPr>
        <w:t xml:space="preserve">analysis </w:t>
      </w:r>
      <w:r w:rsidR="00C13F81">
        <w:rPr>
          <w:szCs w:val="21"/>
        </w:rPr>
        <w:t xml:space="preserve">for each of these cases </w:t>
      </w:r>
      <w:r>
        <w:rPr>
          <w:szCs w:val="21"/>
        </w:rPr>
        <w:t xml:space="preserve">on whether coordination between MN and SN is needed. </w:t>
      </w:r>
    </w:p>
    <w:p w14:paraId="2D00E3EF" w14:textId="77777777" w:rsidR="00474110" w:rsidRPr="00474110" w:rsidRDefault="00474110" w:rsidP="004E2AEA">
      <w:pPr>
        <w:pStyle w:val="ListParagraph"/>
        <w:numPr>
          <w:ilvl w:val="0"/>
          <w:numId w:val="24"/>
        </w:numPr>
        <w:spacing w:before="240" w:after="0" w:afterAutospacing="0"/>
        <w:ind w:leftChars="0"/>
        <w:rPr>
          <w:b/>
          <w:szCs w:val="21"/>
        </w:rPr>
      </w:pPr>
      <w:r w:rsidRPr="00474110">
        <w:rPr>
          <w:b/>
          <w:szCs w:val="21"/>
        </w:rPr>
        <w:t xml:space="preserve">Case 1: </w:t>
      </w:r>
      <w:r w:rsidRPr="00474110">
        <w:rPr>
          <w:rFonts w:ascii="Times New Roman" w:eastAsiaTheme="minorEastAsia" w:hAnsi="Times New Roman" w:cstheme="minorBidi"/>
          <w:b/>
          <w:kern w:val="2"/>
          <w:sz w:val="21"/>
          <w:szCs w:val="21"/>
          <w:lang w:val="en-US"/>
        </w:rPr>
        <w:t>Individual candidate frequencies range are affected by the IDC issue</w:t>
      </w:r>
    </w:p>
    <w:p w14:paraId="16351228" w14:textId="77777777" w:rsidR="00474110" w:rsidRPr="00EB38BE" w:rsidRDefault="00474110" w:rsidP="00FD7B28">
      <w:pPr>
        <w:pStyle w:val="ListParagraph"/>
        <w:numPr>
          <w:ilvl w:val="0"/>
          <w:numId w:val="32"/>
        </w:numPr>
        <w:ind w:leftChars="0"/>
        <w:rPr>
          <w:rFonts w:ascii="Times New Roman" w:hAnsi="Times New Roman"/>
          <w:sz w:val="21"/>
          <w:szCs w:val="21"/>
        </w:rPr>
      </w:pPr>
      <w:r w:rsidRPr="00D20113">
        <w:rPr>
          <w:rFonts w:ascii="Times New Roman" w:hAnsi="Times New Roman"/>
          <w:b/>
          <w:sz w:val="21"/>
          <w:szCs w:val="21"/>
          <w:u w:val="single"/>
        </w:rPr>
        <w:t>NW Configuration</w:t>
      </w:r>
      <w:r w:rsidRPr="00EB38BE">
        <w:rPr>
          <w:rFonts w:ascii="Times New Roman" w:hAnsi="Times New Roman"/>
          <w:sz w:val="21"/>
          <w:szCs w:val="21"/>
        </w:rPr>
        <w:t>: MN configures F1 as the candidate frequency to the UE, while SN configures F2 as the candidate frequency to the UE</w:t>
      </w:r>
    </w:p>
    <w:p w14:paraId="1B51B733" w14:textId="77777777" w:rsidR="00FD7B28" w:rsidRPr="00EB38BE" w:rsidRDefault="00474110" w:rsidP="004E2AEA">
      <w:pPr>
        <w:pStyle w:val="ListParagraph"/>
        <w:numPr>
          <w:ilvl w:val="0"/>
          <w:numId w:val="32"/>
        </w:numPr>
        <w:spacing w:after="0" w:afterAutospacing="0"/>
        <w:ind w:leftChars="0"/>
        <w:rPr>
          <w:rFonts w:ascii="Times New Roman" w:hAnsi="Times New Roman"/>
          <w:sz w:val="21"/>
          <w:szCs w:val="21"/>
        </w:rPr>
      </w:pPr>
      <w:r w:rsidRPr="00D20113">
        <w:rPr>
          <w:rFonts w:ascii="Times New Roman" w:hAnsi="Times New Roman"/>
          <w:b/>
          <w:sz w:val="21"/>
          <w:szCs w:val="21"/>
          <w:u w:val="single"/>
        </w:rPr>
        <w:t>UE reporting</w:t>
      </w:r>
      <w:r w:rsidRPr="00EB38BE">
        <w:rPr>
          <w:rFonts w:ascii="Times New Roman" w:hAnsi="Times New Roman"/>
          <w:sz w:val="21"/>
          <w:szCs w:val="21"/>
        </w:rPr>
        <w:t>: If UE detects IDC issue on F1, UE reports the individual affected frequency F1 to the MN; If UE detects IDC issue on F2, UE reports the individual affected frequency F2 to the SN.</w:t>
      </w:r>
    </w:p>
    <w:p w14:paraId="444CDDFC" w14:textId="0D830BD2" w:rsidR="00474110" w:rsidRPr="00FD7B28" w:rsidRDefault="00474110" w:rsidP="00EB38BE">
      <w:pPr>
        <w:pStyle w:val="ListParagraph"/>
        <w:spacing w:beforeLines="50" w:before="120" w:after="0" w:afterAutospacing="0"/>
        <w:ind w:leftChars="0" w:left="839" w:firstLine="0"/>
        <w:rPr>
          <w:szCs w:val="21"/>
        </w:rPr>
      </w:pPr>
      <w:r w:rsidRPr="00EB38BE">
        <w:rPr>
          <w:rFonts w:ascii="Times New Roman" w:hAnsi="Times New Roman"/>
          <w:sz w:val="21"/>
          <w:szCs w:val="21"/>
        </w:rPr>
        <w:t>For</w:t>
      </w:r>
      <w:r w:rsidR="00EB38BE">
        <w:rPr>
          <w:rFonts w:ascii="Times New Roman" w:hAnsi="Times New Roman"/>
          <w:sz w:val="21"/>
          <w:szCs w:val="21"/>
        </w:rPr>
        <w:t xml:space="preserve"> such case</w:t>
      </w:r>
      <w:r w:rsidR="00EB38BE" w:rsidRPr="00EB38BE">
        <w:rPr>
          <w:rFonts w:ascii="Times New Roman" w:hAnsi="Times New Roman"/>
          <w:sz w:val="21"/>
          <w:szCs w:val="21"/>
        </w:rPr>
        <w:t xml:space="preserve">, </w:t>
      </w:r>
      <w:r w:rsidR="00EB38BE">
        <w:rPr>
          <w:rFonts w:ascii="Times New Roman" w:hAnsi="Times New Roman"/>
          <w:sz w:val="21"/>
          <w:szCs w:val="21"/>
        </w:rPr>
        <w:t xml:space="preserve">MN and SN can decide how to </w:t>
      </w:r>
      <w:r w:rsidR="005868ED">
        <w:rPr>
          <w:rFonts w:ascii="Times New Roman" w:hAnsi="Times New Roman"/>
          <w:sz w:val="21"/>
          <w:szCs w:val="21"/>
        </w:rPr>
        <w:t xml:space="preserve">configure and how to </w:t>
      </w:r>
      <w:r w:rsidR="00EB38BE">
        <w:rPr>
          <w:rFonts w:ascii="Times New Roman" w:hAnsi="Times New Roman"/>
          <w:sz w:val="21"/>
          <w:szCs w:val="21"/>
        </w:rPr>
        <w:t xml:space="preserve">address the IDC issue </w:t>
      </w:r>
      <w:r w:rsidR="005868ED">
        <w:rPr>
          <w:rFonts w:ascii="Times New Roman" w:hAnsi="Times New Roman"/>
          <w:sz w:val="21"/>
          <w:szCs w:val="21"/>
        </w:rPr>
        <w:t xml:space="preserve">for the UE </w:t>
      </w:r>
      <w:r w:rsidR="00EB38BE">
        <w:rPr>
          <w:rFonts w:ascii="Times New Roman" w:hAnsi="Times New Roman"/>
          <w:sz w:val="21"/>
          <w:szCs w:val="21"/>
        </w:rPr>
        <w:t>independently. T</w:t>
      </w:r>
      <w:r w:rsidRPr="00EB38BE">
        <w:rPr>
          <w:rFonts w:ascii="Times New Roman" w:hAnsi="Times New Roman"/>
          <w:sz w:val="21"/>
          <w:szCs w:val="21"/>
        </w:rPr>
        <w:t xml:space="preserve">here is no need for any coordination either for configuration or solution between MN and SN. </w:t>
      </w:r>
    </w:p>
    <w:p w14:paraId="53ECD9F2" w14:textId="77777777" w:rsidR="00474110" w:rsidRPr="00474110" w:rsidRDefault="00474110" w:rsidP="004E2AEA">
      <w:pPr>
        <w:pStyle w:val="ListParagraph"/>
        <w:numPr>
          <w:ilvl w:val="0"/>
          <w:numId w:val="24"/>
        </w:numPr>
        <w:spacing w:before="240" w:after="0" w:afterAutospacing="0"/>
        <w:ind w:leftChars="0"/>
        <w:rPr>
          <w:b/>
          <w:szCs w:val="21"/>
        </w:rPr>
      </w:pPr>
      <w:r w:rsidRPr="00474110">
        <w:rPr>
          <w:b/>
          <w:szCs w:val="21"/>
        </w:rPr>
        <w:t xml:space="preserve">Case 2: Combination of candidate frequency ranges due to UL CA are affected by the IDC issue  </w:t>
      </w:r>
    </w:p>
    <w:p w14:paraId="40720B1B" w14:textId="77777777" w:rsidR="00474110" w:rsidRPr="00EB38BE" w:rsidRDefault="00474110" w:rsidP="00FD7B28">
      <w:pPr>
        <w:pStyle w:val="ListParagraph"/>
        <w:numPr>
          <w:ilvl w:val="0"/>
          <w:numId w:val="32"/>
        </w:numPr>
        <w:ind w:leftChars="0"/>
        <w:rPr>
          <w:rFonts w:ascii="Times New Roman" w:hAnsi="Times New Roman"/>
          <w:sz w:val="21"/>
          <w:szCs w:val="21"/>
        </w:rPr>
      </w:pPr>
      <w:r w:rsidRPr="00D20113">
        <w:rPr>
          <w:rFonts w:ascii="Times New Roman" w:hAnsi="Times New Roman"/>
          <w:b/>
          <w:sz w:val="21"/>
          <w:szCs w:val="21"/>
          <w:u w:val="single"/>
        </w:rPr>
        <w:t>NW Configuration:</w:t>
      </w:r>
      <w:r w:rsidRPr="00EB38BE">
        <w:rPr>
          <w:rFonts w:ascii="Times New Roman" w:hAnsi="Times New Roman"/>
          <w:sz w:val="21"/>
          <w:szCs w:val="21"/>
        </w:rPr>
        <w:t xml:space="preserve"> MN configures F1 and F2 as the candidate frequency to the UE, while SN configures F3 and F4 as the candidate frequency to the UE</w:t>
      </w:r>
    </w:p>
    <w:p w14:paraId="2298D2C2" w14:textId="77777777" w:rsidR="00FD7B28" w:rsidRPr="00EB38BE" w:rsidRDefault="00474110" w:rsidP="004E2AEA">
      <w:pPr>
        <w:pStyle w:val="ListParagraph"/>
        <w:numPr>
          <w:ilvl w:val="0"/>
          <w:numId w:val="32"/>
        </w:numPr>
        <w:spacing w:after="0" w:afterAutospacing="0"/>
        <w:ind w:leftChars="0"/>
        <w:rPr>
          <w:rFonts w:ascii="Times New Roman" w:hAnsi="Times New Roman"/>
          <w:sz w:val="21"/>
          <w:szCs w:val="21"/>
          <w:lang w:val="en-US"/>
        </w:rPr>
      </w:pPr>
      <w:r w:rsidRPr="00D20113">
        <w:rPr>
          <w:rFonts w:ascii="Times New Roman" w:hAnsi="Times New Roman"/>
          <w:b/>
          <w:sz w:val="21"/>
          <w:szCs w:val="21"/>
          <w:u w:val="single"/>
        </w:rPr>
        <w:t>UE reporting</w:t>
      </w:r>
      <w:r w:rsidRPr="00EB38BE">
        <w:rPr>
          <w:rFonts w:ascii="Times New Roman" w:hAnsi="Times New Roman"/>
          <w:sz w:val="21"/>
          <w:szCs w:val="21"/>
        </w:rPr>
        <w:t>: If UE detects IDC issue on UL CA combination of F1 and F2, UE reports the affected frequency combination F1+F2 to the MN; If UE detects IDC issue on UL CA combination of F3 and F4, UE reports the affected frequency combination F3+F4 to the SN.</w:t>
      </w:r>
    </w:p>
    <w:p w14:paraId="6F02936B" w14:textId="208F0136" w:rsidR="00474110" w:rsidRPr="004E2AEA" w:rsidRDefault="00474110" w:rsidP="004E2AEA">
      <w:pPr>
        <w:pStyle w:val="ListParagraph"/>
        <w:spacing w:before="240" w:after="0" w:afterAutospacing="0"/>
        <w:ind w:leftChars="0" w:left="840" w:firstLine="0"/>
        <w:rPr>
          <w:lang w:val="en-US"/>
        </w:rPr>
      </w:pPr>
      <w:r w:rsidRPr="00EB38BE">
        <w:rPr>
          <w:rFonts w:ascii="Times New Roman" w:hAnsi="Times New Roman"/>
          <w:sz w:val="21"/>
          <w:szCs w:val="21"/>
        </w:rPr>
        <w:t xml:space="preserve">For such case, </w:t>
      </w:r>
      <w:r w:rsidR="005868ED">
        <w:rPr>
          <w:rFonts w:ascii="Times New Roman" w:hAnsi="Times New Roman"/>
          <w:sz w:val="21"/>
          <w:szCs w:val="21"/>
        </w:rPr>
        <w:t>MN and SN can also decide how to configure and how to address the IDC issue for the UE independently. T</w:t>
      </w:r>
      <w:r w:rsidRPr="00EB38BE">
        <w:rPr>
          <w:rFonts w:ascii="Times New Roman" w:hAnsi="Times New Roman"/>
          <w:sz w:val="21"/>
          <w:szCs w:val="21"/>
        </w:rPr>
        <w:t>here is no need for any coordination either for configuration or solution between MN and SN.</w:t>
      </w:r>
    </w:p>
    <w:p w14:paraId="50DE5001" w14:textId="3DFA764B" w:rsidR="00474110" w:rsidRPr="00474110" w:rsidRDefault="00474110" w:rsidP="004E2AEA">
      <w:pPr>
        <w:pStyle w:val="ListParagraph"/>
        <w:numPr>
          <w:ilvl w:val="0"/>
          <w:numId w:val="24"/>
        </w:numPr>
        <w:spacing w:before="240" w:after="0" w:afterAutospacing="0"/>
        <w:ind w:leftChars="0"/>
        <w:rPr>
          <w:lang w:val="en-US"/>
        </w:rPr>
      </w:pPr>
      <w:r w:rsidRPr="00474110">
        <w:rPr>
          <w:b/>
        </w:rPr>
        <w:t>Case 3:</w:t>
      </w:r>
      <w:r>
        <w:t xml:space="preserve"> </w:t>
      </w:r>
      <w:r w:rsidRPr="0029086C">
        <w:rPr>
          <w:b/>
          <w:szCs w:val="21"/>
        </w:rPr>
        <w:t xml:space="preserve">Combination of candidate frequency ranges due to </w:t>
      </w:r>
      <w:r>
        <w:rPr>
          <w:b/>
          <w:szCs w:val="21"/>
        </w:rPr>
        <w:t>MR</w:t>
      </w:r>
      <w:r w:rsidR="00C13F81">
        <w:rPr>
          <w:b/>
          <w:szCs w:val="21"/>
        </w:rPr>
        <w:t>-</w:t>
      </w:r>
      <w:r>
        <w:rPr>
          <w:b/>
          <w:szCs w:val="21"/>
        </w:rPr>
        <w:t>DC</w:t>
      </w:r>
      <w:r w:rsidRPr="0029086C">
        <w:rPr>
          <w:b/>
          <w:szCs w:val="21"/>
        </w:rPr>
        <w:t xml:space="preserve"> are affected by the IDC issue</w:t>
      </w:r>
    </w:p>
    <w:p w14:paraId="7BB011FF" w14:textId="77777777" w:rsidR="00474110" w:rsidRPr="00EB38BE" w:rsidRDefault="00474110" w:rsidP="00474110">
      <w:pPr>
        <w:pStyle w:val="ListParagraph"/>
        <w:numPr>
          <w:ilvl w:val="0"/>
          <w:numId w:val="25"/>
        </w:numPr>
        <w:ind w:leftChars="0"/>
        <w:rPr>
          <w:rFonts w:ascii="Times New Roman" w:hAnsi="Times New Roman"/>
          <w:sz w:val="21"/>
          <w:szCs w:val="21"/>
          <w:lang w:val="en-US"/>
        </w:rPr>
      </w:pPr>
      <w:r w:rsidRPr="00D20113">
        <w:rPr>
          <w:rFonts w:ascii="Times New Roman" w:hAnsi="Times New Roman"/>
          <w:b/>
          <w:sz w:val="21"/>
          <w:szCs w:val="21"/>
          <w:u w:val="single"/>
        </w:rPr>
        <w:t>NW Configuration</w:t>
      </w:r>
      <w:r w:rsidRPr="00EB38BE">
        <w:rPr>
          <w:rFonts w:ascii="Times New Roman" w:hAnsi="Times New Roman"/>
          <w:sz w:val="21"/>
          <w:szCs w:val="21"/>
        </w:rPr>
        <w:t>: MN configures F1 as the candidate frequency to the UE, while SN configures F2 as the candidate frequency to the UE</w:t>
      </w:r>
    </w:p>
    <w:p w14:paraId="2CAF6976" w14:textId="4C98F9F4" w:rsidR="00474110" w:rsidRPr="00474110" w:rsidRDefault="00474110" w:rsidP="00474110">
      <w:pPr>
        <w:pStyle w:val="ListParagraph"/>
        <w:numPr>
          <w:ilvl w:val="0"/>
          <w:numId w:val="25"/>
        </w:numPr>
        <w:ind w:leftChars="0"/>
        <w:rPr>
          <w:lang w:val="en-US"/>
        </w:rPr>
      </w:pPr>
      <w:r w:rsidRPr="00D20113">
        <w:rPr>
          <w:rFonts w:ascii="Times New Roman" w:hAnsi="Times New Roman"/>
          <w:b/>
          <w:sz w:val="21"/>
          <w:szCs w:val="21"/>
          <w:u w:val="single"/>
        </w:rPr>
        <w:lastRenderedPageBreak/>
        <w:t>UE reporting:</w:t>
      </w:r>
      <w:r w:rsidRPr="00EB38BE">
        <w:rPr>
          <w:rFonts w:ascii="Times New Roman" w:hAnsi="Times New Roman"/>
          <w:sz w:val="21"/>
          <w:szCs w:val="21"/>
        </w:rPr>
        <w:t xml:space="preserve"> If UE detects IDC issue on MR-DC combination of F1 and F2, then how the UE report</w:t>
      </w:r>
      <w:r w:rsidR="0037754C">
        <w:rPr>
          <w:rFonts w:ascii="Times New Roman" w:hAnsi="Times New Roman"/>
          <w:sz w:val="21"/>
          <w:szCs w:val="21"/>
        </w:rPr>
        <w:t>s</w:t>
      </w:r>
      <w:r w:rsidRPr="00EB38BE">
        <w:rPr>
          <w:rFonts w:ascii="Times New Roman" w:hAnsi="Times New Roman"/>
          <w:sz w:val="21"/>
          <w:szCs w:val="21"/>
        </w:rPr>
        <w:t xml:space="preserve"> </w:t>
      </w:r>
      <w:r w:rsidR="0037754C">
        <w:rPr>
          <w:rFonts w:ascii="Times New Roman" w:hAnsi="Times New Roman"/>
          <w:sz w:val="21"/>
          <w:szCs w:val="21"/>
        </w:rPr>
        <w:t xml:space="preserve">this to network is unclear in RAN 2 and we don’t </w:t>
      </w:r>
      <w:proofErr w:type="gramStart"/>
      <w:r w:rsidRPr="00EB38BE">
        <w:rPr>
          <w:rFonts w:ascii="Times New Roman" w:hAnsi="Times New Roman"/>
          <w:sz w:val="21"/>
          <w:szCs w:val="21"/>
        </w:rPr>
        <w:t>seems</w:t>
      </w:r>
      <w:proofErr w:type="gramEnd"/>
      <w:r w:rsidRPr="00EB38BE">
        <w:rPr>
          <w:rFonts w:ascii="Times New Roman" w:hAnsi="Times New Roman"/>
          <w:sz w:val="21"/>
          <w:szCs w:val="21"/>
        </w:rPr>
        <w:t xml:space="preserve"> </w:t>
      </w:r>
      <w:r w:rsidR="0037754C">
        <w:rPr>
          <w:rFonts w:ascii="Times New Roman" w:hAnsi="Times New Roman"/>
          <w:sz w:val="21"/>
          <w:szCs w:val="21"/>
        </w:rPr>
        <w:t xml:space="preserve">to </w:t>
      </w:r>
      <w:r w:rsidRPr="00EB38BE">
        <w:rPr>
          <w:rFonts w:ascii="Times New Roman" w:hAnsi="Times New Roman"/>
          <w:sz w:val="21"/>
          <w:szCs w:val="21"/>
        </w:rPr>
        <w:t xml:space="preserve"> have common understanding in RAN2</w:t>
      </w:r>
      <w:r w:rsidR="0037754C">
        <w:rPr>
          <w:rFonts w:ascii="Times New Roman" w:hAnsi="Times New Roman"/>
          <w:sz w:val="21"/>
          <w:szCs w:val="21"/>
        </w:rPr>
        <w:t xml:space="preserve"> for this scenario</w:t>
      </w:r>
      <w:r w:rsidRPr="00EB38BE">
        <w:rPr>
          <w:rFonts w:ascii="Times New Roman" w:hAnsi="Times New Roman"/>
          <w:sz w:val="21"/>
          <w:szCs w:val="21"/>
        </w:rPr>
        <w:t>.</w:t>
      </w:r>
    </w:p>
    <w:p w14:paraId="606D973A" w14:textId="485E076A" w:rsidR="00474110" w:rsidRPr="004E2AEA" w:rsidRDefault="00474110" w:rsidP="00474110">
      <w:pPr>
        <w:rPr>
          <w:rFonts w:cs="Times New Roman"/>
          <w:szCs w:val="21"/>
        </w:rPr>
      </w:pPr>
      <w:r w:rsidRPr="004E2AEA">
        <w:rPr>
          <w:rFonts w:cs="Times New Roman"/>
          <w:szCs w:val="21"/>
        </w:rPr>
        <w:t xml:space="preserve">For </w:t>
      </w:r>
      <w:r w:rsidR="004E2AEA" w:rsidRPr="004E2AEA">
        <w:rPr>
          <w:rFonts w:cs="Times New Roman"/>
          <w:szCs w:val="21"/>
        </w:rPr>
        <w:t>this</w:t>
      </w:r>
      <w:r w:rsidRPr="004E2AEA">
        <w:rPr>
          <w:rFonts w:cs="Times New Roman"/>
          <w:szCs w:val="21"/>
        </w:rPr>
        <w:t xml:space="preserve"> case, we first look at what’s the procedure in EN-DC based on the legacy EN-DC procedure and the R18 FDM enhancement.</w:t>
      </w:r>
    </w:p>
    <w:p w14:paraId="674F7139" w14:textId="77777777" w:rsidR="00474110" w:rsidRPr="004E2AEA" w:rsidRDefault="00474110" w:rsidP="004E2AEA">
      <w:pPr>
        <w:pStyle w:val="ListParagraph"/>
        <w:numPr>
          <w:ilvl w:val="0"/>
          <w:numId w:val="26"/>
        </w:numPr>
        <w:spacing w:before="240" w:after="0" w:afterAutospacing="0"/>
        <w:ind w:leftChars="0"/>
        <w:rPr>
          <w:rFonts w:ascii="Times New Roman" w:hAnsi="Times New Roman"/>
          <w:sz w:val="21"/>
          <w:szCs w:val="21"/>
        </w:rPr>
      </w:pPr>
      <w:r w:rsidRPr="004E2AEA">
        <w:rPr>
          <w:rFonts w:ascii="Times New Roman" w:eastAsiaTheme="minorEastAsia" w:hAnsi="Times New Roman"/>
          <w:sz w:val="21"/>
          <w:szCs w:val="21"/>
        </w:rPr>
        <w:t xml:space="preserve">NW configuration: </w:t>
      </w:r>
    </w:p>
    <w:p w14:paraId="6DB779C9" w14:textId="23B9F643" w:rsidR="00474110" w:rsidRPr="004E2AEA" w:rsidRDefault="00474110" w:rsidP="00474110">
      <w:pPr>
        <w:pStyle w:val="ListParagraph"/>
        <w:numPr>
          <w:ilvl w:val="0"/>
          <w:numId w:val="27"/>
        </w:numPr>
        <w:ind w:leftChars="0"/>
        <w:rPr>
          <w:rFonts w:ascii="Times New Roman" w:hAnsi="Times New Roman"/>
          <w:sz w:val="21"/>
          <w:szCs w:val="21"/>
        </w:rPr>
      </w:pPr>
      <w:r w:rsidRPr="004E2AEA">
        <w:rPr>
          <w:rFonts w:ascii="Times New Roman" w:eastAsiaTheme="minorEastAsia" w:hAnsi="Times New Roman"/>
          <w:sz w:val="21"/>
          <w:szCs w:val="21"/>
        </w:rPr>
        <w:t xml:space="preserve">SN forward the F2 as the candidate frequency to the MN by using the CG-Config, and SN can also configure the F2 </w:t>
      </w:r>
      <w:r w:rsidR="0037754C">
        <w:rPr>
          <w:rFonts w:ascii="Times New Roman" w:eastAsiaTheme="minorEastAsia" w:hAnsi="Times New Roman"/>
          <w:sz w:val="21"/>
          <w:szCs w:val="21"/>
        </w:rPr>
        <w:t xml:space="preserve">in terms of </w:t>
      </w:r>
      <w:r w:rsidRPr="004E2AEA">
        <w:rPr>
          <w:rFonts w:ascii="Times New Roman" w:eastAsiaTheme="minorEastAsia" w:hAnsi="Times New Roman"/>
          <w:sz w:val="21"/>
          <w:szCs w:val="21"/>
        </w:rPr>
        <w:t xml:space="preserve"> the </w:t>
      </w:r>
      <w:r w:rsidR="0037754C">
        <w:rPr>
          <w:rFonts w:ascii="Times New Roman" w:eastAsiaTheme="minorEastAsia" w:hAnsi="Times New Roman"/>
          <w:sz w:val="21"/>
          <w:szCs w:val="21"/>
        </w:rPr>
        <w:t xml:space="preserve">centre </w:t>
      </w:r>
      <w:r w:rsidRPr="004E2AEA">
        <w:rPr>
          <w:rFonts w:ascii="Times New Roman" w:eastAsiaTheme="minorEastAsia" w:hAnsi="Times New Roman"/>
          <w:sz w:val="21"/>
          <w:szCs w:val="21"/>
        </w:rPr>
        <w:t>frequency</w:t>
      </w:r>
      <w:r w:rsidR="0037754C">
        <w:rPr>
          <w:rFonts w:ascii="Times New Roman" w:eastAsiaTheme="minorEastAsia" w:hAnsi="Times New Roman"/>
          <w:sz w:val="21"/>
          <w:szCs w:val="21"/>
        </w:rPr>
        <w:t xml:space="preserve"> +</w:t>
      </w:r>
      <w:r w:rsidRPr="004E2AEA">
        <w:rPr>
          <w:rFonts w:ascii="Times New Roman" w:eastAsiaTheme="minorEastAsia" w:hAnsi="Times New Roman"/>
          <w:sz w:val="21"/>
          <w:szCs w:val="21"/>
        </w:rPr>
        <w:t xml:space="preserve"> bandwidth as the candidate frequency range to the UE directly.</w:t>
      </w:r>
    </w:p>
    <w:p w14:paraId="32C80B4E" w14:textId="77777777" w:rsidR="00474110" w:rsidRPr="004E2AEA" w:rsidRDefault="00474110" w:rsidP="004E2AEA">
      <w:pPr>
        <w:pStyle w:val="ListParagraph"/>
        <w:numPr>
          <w:ilvl w:val="0"/>
          <w:numId w:val="27"/>
        </w:numPr>
        <w:spacing w:after="0" w:afterAutospacing="0"/>
        <w:ind w:leftChars="0"/>
        <w:rPr>
          <w:rFonts w:ascii="Times New Roman" w:hAnsi="Times New Roman"/>
          <w:sz w:val="21"/>
          <w:szCs w:val="21"/>
        </w:rPr>
      </w:pPr>
      <w:r w:rsidRPr="004E2AEA">
        <w:rPr>
          <w:rFonts w:ascii="Times New Roman" w:eastAsiaTheme="minorEastAsia" w:hAnsi="Times New Roman"/>
          <w:sz w:val="21"/>
          <w:szCs w:val="21"/>
        </w:rPr>
        <w:t>After receiving the F2 as the candidate frequency from the SN, MN can configure the F1 as a measurement object and F2 as the candidate serving frequency to the UE.</w:t>
      </w:r>
    </w:p>
    <w:p w14:paraId="3F668FC5" w14:textId="77777777" w:rsidR="00474110" w:rsidRPr="004E2AEA" w:rsidRDefault="00474110" w:rsidP="004E2AEA">
      <w:pPr>
        <w:pStyle w:val="ListParagraph"/>
        <w:numPr>
          <w:ilvl w:val="0"/>
          <w:numId w:val="26"/>
        </w:numPr>
        <w:spacing w:after="0" w:afterAutospacing="0"/>
        <w:ind w:leftChars="0"/>
        <w:rPr>
          <w:rFonts w:ascii="Times New Roman" w:hAnsi="Times New Roman"/>
          <w:sz w:val="21"/>
          <w:szCs w:val="21"/>
        </w:rPr>
      </w:pPr>
      <w:r w:rsidRPr="004E2AEA">
        <w:rPr>
          <w:rFonts w:ascii="Times New Roman" w:eastAsiaTheme="minorEastAsia" w:hAnsi="Times New Roman"/>
          <w:sz w:val="21"/>
          <w:szCs w:val="21"/>
        </w:rPr>
        <w:t>UE reporting:</w:t>
      </w:r>
    </w:p>
    <w:p w14:paraId="5CA649A3" w14:textId="77777777" w:rsidR="00474110" w:rsidRPr="004E2AEA" w:rsidRDefault="00474110" w:rsidP="00474110">
      <w:pPr>
        <w:pStyle w:val="ListParagraph"/>
        <w:numPr>
          <w:ilvl w:val="0"/>
          <w:numId w:val="28"/>
        </w:numPr>
        <w:ind w:leftChars="0"/>
        <w:rPr>
          <w:rFonts w:ascii="Times New Roman" w:hAnsi="Times New Roman"/>
          <w:sz w:val="21"/>
          <w:szCs w:val="21"/>
        </w:rPr>
      </w:pPr>
      <w:r w:rsidRPr="004E2AEA">
        <w:rPr>
          <w:rFonts w:ascii="Times New Roman" w:eastAsiaTheme="minorEastAsia" w:hAnsi="Times New Roman"/>
          <w:sz w:val="21"/>
          <w:szCs w:val="21"/>
        </w:rPr>
        <w:t xml:space="preserve">If the UE detects the </w:t>
      </w:r>
      <w:r w:rsidRPr="004E2AEA">
        <w:rPr>
          <w:rFonts w:ascii="Times New Roman" w:hAnsi="Times New Roman"/>
          <w:sz w:val="21"/>
          <w:szCs w:val="21"/>
        </w:rPr>
        <w:t>IDC issue on F2, then UE can report the affected frequency range as agreed in R18 to the SN.</w:t>
      </w:r>
    </w:p>
    <w:p w14:paraId="7263E095" w14:textId="77777777" w:rsidR="00474110" w:rsidRPr="00456E03" w:rsidRDefault="00474110" w:rsidP="004E2AEA">
      <w:pPr>
        <w:pStyle w:val="ListParagraph"/>
        <w:numPr>
          <w:ilvl w:val="0"/>
          <w:numId w:val="28"/>
        </w:numPr>
        <w:spacing w:after="0" w:afterAutospacing="0"/>
        <w:ind w:leftChars="0"/>
      </w:pPr>
      <w:r w:rsidRPr="004E2AEA">
        <w:rPr>
          <w:rFonts w:ascii="Times New Roman" w:eastAsiaTheme="minorEastAsia" w:hAnsi="Times New Roman"/>
          <w:sz w:val="21"/>
          <w:szCs w:val="21"/>
        </w:rPr>
        <w:t xml:space="preserve">If the UE detects the IDC issue on </w:t>
      </w:r>
      <w:r w:rsidRPr="004E2AEA">
        <w:rPr>
          <w:rFonts w:ascii="Times New Roman" w:hAnsi="Times New Roman"/>
          <w:sz w:val="21"/>
          <w:szCs w:val="21"/>
        </w:rPr>
        <w:t>MR-DC combination of F1 and F2, UE reports the affected frequency combination as in legacy to the MN. After that MN may forward this affected frequency range to the SN via the CG-</w:t>
      </w:r>
      <w:proofErr w:type="spellStart"/>
      <w:r w:rsidRPr="004E2AEA">
        <w:rPr>
          <w:rFonts w:ascii="Times New Roman" w:hAnsi="Times New Roman"/>
          <w:sz w:val="21"/>
          <w:szCs w:val="21"/>
        </w:rPr>
        <w:t>ConfigInfo</w:t>
      </w:r>
      <w:proofErr w:type="spellEnd"/>
      <w:r w:rsidRPr="004E2AEA">
        <w:rPr>
          <w:rFonts w:ascii="Times New Roman" w:hAnsi="Times New Roman"/>
          <w:sz w:val="21"/>
          <w:szCs w:val="21"/>
        </w:rPr>
        <w:t>.</w:t>
      </w:r>
    </w:p>
    <w:p w14:paraId="7CABA352" w14:textId="28DC174F" w:rsidR="00474110" w:rsidRDefault="00474110" w:rsidP="00EB38BE">
      <w:pPr>
        <w:spacing w:before="240" w:line="300" w:lineRule="auto"/>
      </w:pPr>
      <w:r w:rsidRPr="00F8740E">
        <w:rPr>
          <w:rFonts w:cs="Times New Roman"/>
          <w:szCs w:val="21"/>
        </w:rPr>
        <w:t>For the above case 3 in NR</w:t>
      </w:r>
      <w:r w:rsidRPr="00F8740E">
        <w:rPr>
          <w:rFonts w:cs="Times New Roman" w:hint="eastAsia"/>
          <w:szCs w:val="21"/>
        </w:rPr>
        <w:t>-</w:t>
      </w:r>
      <w:r w:rsidRPr="00F8740E">
        <w:rPr>
          <w:rFonts w:cs="Times New Roman"/>
          <w:szCs w:val="21"/>
        </w:rPr>
        <w:t xml:space="preserve">DC, considering the IDC issue is caused by the frequency range combination instead of individual frequency range, the UE should report the affect frequency range combination to the NW. If the UE just reports individual frequency range to the corresponding node, it </w:t>
      </w:r>
      <w:r w:rsidR="0037754C">
        <w:rPr>
          <w:rFonts w:cs="Times New Roman"/>
          <w:szCs w:val="21"/>
        </w:rPr>
        <w:t xml:space="preserve">will be misleading and </w:t>
      </w:r>
      <w:r w:rsidRPr="00F8740E">
        <w:rPr>
          <w:rFonts w:cs="Times New Roman"/>
          <w:szCs w:val="21"/>
        </w:rPr>
        <w:t xml:space="preserve">may cause the NW to take the wrong action. </w:t>
      </w:r>
      <w:proofErr w:type="gramStart"/>
      <w:r w:rsidRPr="00F8740E">
        <w:rPr>
          <w:rFonts w:cs="Times New Roman"/>
          <w:szCs w:val="21"/>
        </w:rPr>
        <w:t>So</w:t>
      </w:r>
      <w:proofErr w:type="gramEnd"/>
      <w:r w:rsidRPr="00F8740E">
        <w:rPr>
          <w:rFonts w:cs="Times New Roman"/>
          <w:szCs w:val="21"/>
        </w:rPr>
        <w:t xml:space="preserve"> we think the simplest way is to follow the same procedure as in EN-DC. The specification impact would include:</w:t>
      </w:r>
    </w:p>
    <w:p w14:paraId="5FA56FE8" w14:textId="77777777" w:rsidR="00474110" w:rsidRPr="004E2AEA" w:rsidRDefault="00474110" w:rsidP="00474110">
      <w:pPr>
        <w:pStyle w:val="ListParagraph"/>
        <w:numPr>
          <w:ilvl w:val="0"/>
          <w:numId w:val="29"/>
        </w:numPr>
        <w:ind w:leftChars="0"/>
        <w:rPr>
          <w:rFonts w:ascii="Times New Roman" w:eastAsiaTheme="minorEastAsia" w:hAnsi="Times New Roman" w:cstheme="minorBidi"/>
          <w:kern w:val="2"/>
          <w:sz w:val="21"/>
          <w:szCs w:val="22"/>
          <w:lang w:val="en-US"/>
        </w:rPr>
      </w:pPr>
      <w:r w:rsidRPr="004E2AEA">
        <w:rPr>
          <w:rFonts w:ascii="Times New Roman" w:eastAsiaTheme="minorEastAsia" w:hAnsi="Times New Roman" w:cstheme="minorBidi"/>
          <w:kern w:val="2"/>
          <w:sz w:val="21"/>
          <w:szCs w:val="22"/>
          <w:lang w:val="en-US"/>
        </w:rPr>
        <w:t xml:space="preserve">To add the </w:t>
      </w:r>
      <w:proofErr w:type="spellStart"/>
      <w:r w:rsidRPr="004E2AEA">
        <w:rPr>
          <w:rFonts w:ascii="Times New Roman" w:eastAsiaTheme="minorEastAsia" w:hAnsi="Times New Roman" w:cstheme="minorBidi"/>
          <w:kern w:val="2"/>
          <w:sz w:val="21"/>
          <w:szCs w:val="22"/>
          <w:lang w:val="en-US"/>
        </w:rPr>
        <w:t>candidateServingFreqRangeListNR</w:t>
      </w:r>
      <w:proofErr w:type="spellEnd"/>
      <w:r w:rsidRPr="004E2AEA">
        <w:rPr>
          <w:rFonts w:ascii="Times New Roman" w:eastAsiaTheme="minorEastAsia" w:hAnsi="Times New Roman" w:cstheme="minorBidi"/>
          <w:kern w:val="2"/>
          <w:sz w:val="21"/>
          <w:szCs w:val="22"/>
          <w:lang w:val="en-US"/>
        </w:rPr>
        <w:t xml:space="preserve"> in the CG-Config</w:t>
      </w:r>
    </w:p>
    <w:p w14:paraId="68C2FF81" w14:textId="77777777" w:rsidR="00474110" w:rsidRPr="004E2AEA" w:rsidRDefault="00474110" w:rsidP="00474110">
      <w:pPr>
        <w:pStyle w:val="ListParagraph"/>
        <w:numPr>
          <w:ilvl w:val="0"/>
          <w:numId w:val="29"/>
        </w:numPr>
        <w:ind w:leftChars="0"/>
        <w:rPr>
          <w:rFonts w:ascii="Times New Roman" w:eastAsiaTheme="minorEastAsia" w:hAnsi="Times New Roman" w:cstheme="minorBidi"/>
          <w:kern w:val="2"/>
          <w:sz w:val="21"/>
          <w:szCs w:val="22"/>
          <w:lang w:val="en-US"/>
        </w:rPr>
      </w:pPr>
      <w:r w:rsidRPr="004E2AEA">
        <w:rPr>
          <w:rFonts w:ascii="Times New Roman" w:eastAsiaTheme="minorEastAsia" w:hAnsi="Times New Roman" w:cstheme="minorBidi"/>
          <w:kern w:val="2"/>
          <w:sz w:val="21"/>
          <w:szCs w:val="22"/>
          <w:lang w:val="en-US"/>
        </w:rPr>
        <w:t xml:space="preserve">To add the </w:t>
      </w:r>
      <w:proofErr w:type="spellStart"/>
      <w:r w:rsidRPr="004E2AEA">
        <w:rPr>
          <w:rFonts w:ascii="Times New Roman" w:eastAsiaTheme="minorEastAsia" w:hAnsi="Times New Roman" w:cstheme="minorBidi"/>
          <w:kern w:val="2"/>
          <w:sz w:val="21"/>
          <w:szCs w:val="22"/>
          <w:lang w:val="en-US"/>
        </w:rPr>
        <w:t>affectedCarrierFreqRangCombInfoListMRDC</w:t>
      </w:r>
      <w:proofErr w:type="spellEnd"/>
      <w:r w:rsidRPr="004E2AEA">
        <w:rPr>
          <w:rFonts w:ascii="Times New Roman" w:eastAsiaTheme="minorEastAsia" w:hAnsi="Times New Roman" w:cstheme="minorBidi"/>
          <w:kern w:val="2"/>
          <w:sz w:val="21"/>
          <w:szCs w:val="22"/>
          <w:lang w:val="en-US"/>
        </w:rPr>
        <w:t xml:space="preserve"> in the MRDC-</w:t>
      </w:r>
      <w:proofErr w:type="spellStart"/>
      <w:r w:rsidRPr="004E2AEA">
        <w:rPr>
          <w:rFonts w:ascii="Times New Roman" w:eastAsiaTheme="minorEastAsia" w:hAnsi="Times New Roman" w:cstheme="minorBidi"/>
          <w:kern w:val="2"/>
          <w:sz w:val="21"/>
          <w:szCs w:val="22"/>
          <w:lang w:val="en-US"/>
        </w:rPr>
        <w:t>AssistanceInfo</w:t>
      </w:r>
      <w:proofErr w:type="spellEnd"/>
      <w:r w:rsidRPr="004E2AEA">
        <w:rPr>
          <w:rFonts w:ascii="Times New Roman" w:eastAsiaTheme="minorEastAsia" w:hAnsi="Times New Roman" w:cstheme="minorBidi"/>
          <w:kern w:val="2"/>
          <w:sz w:val="21"/>
          <w:szCs w:val="22"/>
          <w:lang w:val="en-US"/>
        </w:rPr>
        <w:t xml:space="preserve"> of CG-</w:t>
      </w:r>
      <w:proofErr w:type="spellStart"/>
      <w:r w:rsidRPr="004E2AEA">
        <w:rPr>
          <w:rFonts w:ascii="Times New Roman" w:eastAsiaTheme="minorEastAsia" w:hAnsi="Times New Roman" w:cstheme="minorBidi"/>
          <w:kern w:val="2"/>
          <w:sz w:val="21"/>
          <w:szCs w:val="22"/>
          <w:lang w:val="en-US"/>
        </w:rPr>
        <w:t>ConfigInfo</w:t>
      </w:r>
      <w:proofErr w:type="spellEnd"/>
    </w:p>
    <w:p w14:paraId="1BD0EB1B" w14:textId="77777777" w:rsidR="00474110" w:rsidRPr="006177BC" w:rsidRDefault="00474110" w:rsidP="00474110">
      <w:pPr>
        <w:pStyle w:val="ListParagraph"/>
        <w:numPr>
          <w:ilvl w:val="0"/>
          <w:numId w:val="29"/>
        </w:numPr>
        <w:ind w:leftChars="0"/>
      </w:pPr>
      <w:r w:rsidRPr="004E2AEA">
        <w:rPr>
          <w:rFonts w:ascii="Times New Roman" w:eastAsiaTheme="minorEastAsia" w:hAnsi="Times New Roman" w:cstheme="minorBidi"/>
          <w:kern w:val="2"/>
          <w:sz w:val="21"/>
          <w:szCs w:val="22"/>
          <w:lang w:val="en-US"/>
        </w:rPr>
        <w:t>For the UE reporting procedure, if the UE detect the IDC issue on MR-DC frequency range combination, the UE reports the affected frequency range combination to the MN.</w:t>
      </w:r>
    </w:p>
    <w:p w14:paraId="38D82C39" w14:textId="30291C0B" w:rsidR="00474110" w:rsidRPr="004E2AEA" w:rsidRDefault="00474110" w:rsidP="00C56913">
      <w:pPr>
        <w:spacing w:line="300" w:lineRule="auto"/>
        <w:rPr>
          <w:rFonts w:cs="Times New Roman"/>
          <w:szCs w:val="21"/>
        </w:rPr>
      </w:pPr>
      <w:r w:rsidRPr="004E2AEA">
        <w:rPr>
          <w:rFonts w:cs="Times New Roman"/>
          <w:szCs w:val="21"/>
        </w:rPr>
        <w:t xml:space="preserve">After MN receives the affected frequency range combination from the UE for NR-DC, it is up to the MN </w:t>
      </w:r>
      <w:r w:rsidR="00C56913">
        <w:rPr>
          <w:rFonts w:cs="Times New Roman"/>
          <w:szCs w:val="21"/>
        </w:rPr>
        <w:t xml:space="preserve">to decide </w:t>
      </w:r>
      <w:r w:rsidRPr="004E2AEA">
        <w:rPr>
          <w:rFonts w:cs="Times New Roman"/>
          <w:szCs w:val="21"/>
        </w:rPr>
        <w:t xml:space="preserve">how to address the IDC issue for the UE </w:t>
      </w:r>
      <w:r w:rsidR="00C56913">
        <w:rPr>
          <w:rFonts w:cs="Times New Roman"/>
          <w:szCs w:val="21"/>
        </w:rPr>
        <w:t xml:space="preserve">by using the FDM solution </w:t>
      </w:r>
      <w:r w:rsidRPr="004E2AEA">
        <w:rPr>
          <w:rFonts w:cs="Times New Roman"/>
          <w:szCs w:val="21"/>
        </w:rPr>
        <w:t xml:space="preserve">as below. </w:t>
      </w:r>
      <w:r w:rsidR="00C56913">
        <w:rPr>
          <w:rFonts w:cs="Times New Roman"/>
          <w:szCs w:val="21"/>
        </w:rPr>
        <w:t>N</w:t>
      </w:r>
      <w:r w:rsidRPr="004E2AEA">
        <w:rPr>
          <w:rFonts w:cs="Times New Roman"/>
          <w:szCs w:val="21"/>
        </w:rPr>
        <w:t>o further coordination between MN and SN for addressing the IDC issue is needed.</w:t>
      </w:r>
    </w:p>
    <w:p w14:paraId="58255023" w14:textId="0B79B6F8" w:rsidR="00474110" w:rsidRPr="004E2AEA" w:rsidRDefault="00474110" w:rsidP="00474110">
      <w:pPr>
        <w:pStyle w:val="ListParagraph"/>
        <w:numPr>
          <w:ilvl w:val="0"/>
          <w:numId w:val="30"/>
        </w:numPr>
        <w:ind w:leftChars="0"/>
        <w:rPr>
          <w:rFonts w:ascii="Times New Roman" w:hAnsi="Times New Roman"/>
          <w:sz w:val="21"/>
          <w:szCs w:val="21"/>
        </w:rPr>
      </w:pPr>
      <w:r w:rsidRPr="004E2AEA">
        <w:rPr>
          <w:rFonts w:ascii="Times New Roman" w:hAnsi="Times New Roman"/>
          <w:sz w:val="21"/>
          <w:szCs w:val="21"/>
        </w:rPr>
        <w:t>If the MN decide to address th</w:t>
      </w:r>
      <w:r w:rsidR="00F50A38">
        <w:rPr>
          <w:rFonts w:ascii="Times New Roman" w:hAnsi="Times New Roman"/>
          <w:sz w:val="21"/>
          <w:szCs w:val="21"/>
        </w:rPr>
        <w:t xml:space="preserve">e IDC problem by itself e.g. </w:t>
      </w:r>
      <w:r w:rsidRPr="004E2AEA">
        <w:rPr>
          <w:rFonts w:ascii="Times New Roman" w:hAnsi="Times New Roman"/>
          <w:sz w:val="21"/>
          <w:szCs w:val="21"/>
        </w:rPr>
        <w:t>by switching the BWP, it does not forward any info to SN;</w:t>
      </w:r>
    </w:p>
    <w:p w14:paraId="2A8028DB" w14:textId="28A938FD" w:rsidR="00474110" w:rsidRPr="00930CDC" w:rsidRDefault="00474110" w:rsidP="00474110">
      <w:pPr>
        <w:pStyle w:val="ListParagraph"/>
        <w:numPr>
          <w:ilvl w:val="0"/>
          <w:numId w:val="30"/>
        </w:numPr>
        <w:ind w:leftChars="0"/>
      </w:pPr>
      <w:r w:rsidRPr="004E2AEA">
        <w:rPr>
          <w:rFonts w:ascii="Times New Roman" w:hAnsi="Times New Roman"/>
          <w:sz w:val="21"/>
          <w:szCs w:val="21"/>
        </w:rPr>
        <w:t>If the MN decide to ask the SN to address the IDC problem caused by the MR-DC frequency combination, then MN forwards affected frequency combination List to SN for it to resolve the IDC problem</w:t>
      </w:r>
      <w:r w:rsidR="004E2AEA">
        <w:rPr>
          <w:rFonts w:ascii="Times New Roman" w:hAnsi="Times New Roman"/>
          <w:sz w:val="21"/>
          <w:szCs w:val="21"/>
        </w:rPr>
        <w:t>.</w:t>
      </w:r>
      <w:r w:rsidR="00F50A38">
        <w:rPr>
          <w:rFonts w:ascii="Times New Roman" w:hAnsi="Times New Roman"/>
          <w:sz w:val="21"/>
          <w:szCs w:val="21"/>
        </w:rPr>
        <w:t xml:space="preserve"> Then it is up to the SN to decide how to apply FDM solution.</w:t>
      </w:r>
    </w:p>
    <w:p w14:paraId="13E6D42B" w14:textId="1C6D994E" w:rsidR="00474110" w:rsidRDefault="0072447C" w:rsidP="0072447C">
      <w:r>
        <w:rPr>
          <w:rFonts w:hint="eastAsia"/>
        </w:rPr>
        <w:t>B</w:t>
      </w:r>
      <w:r>
        <w:t>ased on the above discussion, we propose that:</w:t>
      </w:r>
    </w:p>
    <w:p w14:paraId="775F9580" w14:textId="77777777" w:rsidR="00F8740E" w:rsidRPr="00F8740E" w:rsidRDefault="00474110" w:rsidP="0072447C">
      <w:pPr>
        <w:spacing w:beforeLines="50" w:before="120" w:line="300" w:lineRule="auto"/>
        <w:rPr>
          <w:rFonts w:cs="Times New Roman"/>
          <w:b/>
          <w:szCs w:val="21"/>
        </w:rPr>
      </w:pPr>
      <w:r w:rsidRPr="00F8740E">
        <w:rPr>
          <w:rFonts w:cs="Times New Roman"/>
          <w:b/>
          <w:szCs w:val="21"/>
        </w:rPr>
        <w:t xml:space="preserve">Proposal </w:t>
      </w:r>
      <w:r w:rsidR="00F8740E" w:rsidRPr="00F8740E">
        <w:rPr>
          <w:rFonts w:cs="Times New Roman"/>
          <w:b/>
          <w:szCs w:val="21"/>
        </w:rPr>
        <w:t>1</w:t>
      </w:r>
      <w:r w:rsidRPr="00F8740E">
        <w:rPr>
          <w:rFonts w:cs="Times New Roman"/>
          <w:b/>
          <w:szCs w:val="21"/>
        </w:rPr>
        <w:t xml:space="preserve">: For the case of IDC issue caused by NR-DC frequency range combination, the same procedure as for EN-DC is supported, specifically: </w:t>
      </w:r>
    </w:p>
    <w:p w14:paraId="19663E9B" w14:textId="2B5A732A" w:rsidR="00474110" w:rsidRPr="00F8740E" w:rsidRDefault="00474110" w:rsidP="00F8740E">
      <w:pPr>
        <w:pStyle w:val="ListParagraph"/>
        <w:numPr>
          <w:ilvl w:val="0"/>
          <w:numId w:val="31"/>
        </w:numPr>
        <w:spacing w:beforeLines="50" w:before="120" w:after="0" w:afterAutospacing="0" w:line="240" w:lineRule="auto"/>
        <w:ind w:leftChars="0"/>
        <w:rPr>
          <w:rFonts w:ascii="Times New Roman" w:hAnsi="Times New Roman"/>
          <w:b/>
          <w:sz w:val="21"/>
          <w:szCs w:val="21"/>
        </w:rPr>
      </w:pPr>
      <w:r w:rsidRPr="00F8740E">
        <w:rPr>
          <w:rFonts w:ascii="Times New Roman" w:hAnsi="Times New Roman"/>
          <w:b/>
          <w:sz w:val="21"/>
          <w:szCs w:val="21"/>
        </w:rPr>
        <w:t xml:space="preserve">To add the </w:t>
      </w:r>
      <w:proofErr w:type="spellStart"/>
      <w:r w:rsidRPr="00F8740E">
        <w:rPr>
          <w:rFonts w:ascii="Times New Roman" w:hAnsi="Times New Roman"/>
          <w:b/>
          <w:sz w:val="21"/>
          <w:szCs w:val="21"/>
        </w:rPr>
        <w:t>candidateServingFreqRangeListNR</w:t>
      </w:r>
      <w:proofErr w:type="spellEnd"/>
      <w:r w:rsidRPr="00F8740E">
        <w:rPr>
          <w:rFonts w:ascii="Times New Roman" w:hAnsi="Times New Roman"/>
          <w:b/>
          <w:sz w:val="21"/>
          <w:szCs w:val="21"/>
        </w:rPr>
        <w:t xml:space="preserve"> in the CG-Config</w:t>
      </w:r>
    </w:p>
    <w:p w14:paraId="04936297" w14:textId="7B17E31F" w:rsidR="00F8740E" w:rsidRPr="00F8740E" w:rsidRDefault="00474110" w:rsidP="00F8740E">
      <w:pPr>
        <w:pStyle w:val="ListParagraph"/>
        <w:numPr>
          <w:ilvl w:val="0"/>
          <w:numId w:val="31"/>
        </w:numPr>
        <w:spacing w:beforeLines="50" w:before="120" w:after="0" w:afterAutospacing="0" w:line="240" w:lineRule="auto"/>
        <w:ind w:leftChars="0"/>
        <w:rPr>
          <w:rFonts w:ascii="Times New Roman" w:hAnsi="Times New Roman"/>
          <w:b/>
          <w:sz w:val="21"/>
          <w:szCs w:val="21"/>
        </w:rPr>
      </w:pPr>
      <w:r w:rsidRPr="00F8740E">
        <w:rPr>
          <w:rFonts w:ascii="Times New Roman" w:hAnsi="Times New Roman"/>
          <w:b/>
          <w:sz w:val="21"/>
          <w:szCs w:val="21"/>
        </w:rPr>
        <w:t xml:space="preserve">To add the </w:t>
      </w:r>
      <w:proofErr w:type="spellStart"/>
      <w:r w:rsidRPr="00F8740E">
        <w:rPr>
          <w:rFonts w:ascii="Times New Roman" w:hAnsi="Times New Roman"/>
          <w:b/>
          <w:sz w:val="21"/>
          <w:szCs w:val="21"/>
        </w:rPr>
        <w:t>affectedCarrierFreqRang</w:t>
      </w:r>
      <w:r w:rsidR="004F6C60">
        <w:rPr>
          <w:rFonts w:ascii="Times New Roman" w:hAnsi="Times New Roman"/>
          <w:b/>
          <w:sz w:val="21"/>
          <w:szCs w:val="21"/>
        </w:rPr>
        <w:t>e</w:t>
      </w:r>
      <w:r w:rsidRPr="00F8740E">
        <w:rPr>
          <w:rFonts w:ascii="Times New Roman" w:hAnsi="Times New Roman"/>
          <w:b/>
          <w:sz w:val="21"/>
          <w:szCs w:val="21"/>
        </w:rPr>
        <w:t>CombInfoListMRDC</w:t>
      </w:r>
      <w:proofErr w:type="spellEnd"/>
      <w:r w:rsidRPr="00F8740E">
        <w:rPr>
          <w:rFonts w:ascii="Times New Roman" w:hAnsi="Times New Roman"/>
          <w:b/>
          <w:sz w:val="21"/>
          <w:szCs w:val="21"/>
        </w:rPr>
        <w:t xml:space="preserve"> in the MRDC-</w:t>
      </w:r>
      <w:proofErr w:type="spellStart"/>
      <w:r w:rsidRPr="00F8740E">
        <w:rPr>
          <w:rFonts w:ascii="Times New Roman" w:hAnsi="Times New Roman"/>
          <w:b/>
          <w:sz w:val="21"/>
          <w:szCs w:val="21"/>
        </w:rPr>
        <w:t>AssistanceInfo</w:t>
      </w:r>
      <w:proofErr w:type="spellEnd"/>
      <w:r w:rsidRPr="00F8740E">
        <w:rPr>
          <w:rFonts w:ascii="Times New Roman" w:hAnsi="Times New Roman"/>
          <w:b/>
          <w:sz w:val="21"/>
          <w:szCs w:val="21"/>
        </w:rPr>
        <w:t xml:space="preserve"> of CG-</w:t>
      </w:r>
      <w:proofErr w:type="spellStart"/>
      <w:r w:rsidRPr="00F8740E">
        <w:rPr>
          <w:rFonts w:ascii="Times New Roman" w:hAnsi="Times New Roman"/>
          <w:b/>
          <w:sz w:val="21"/>
          <w:szCs w:val="21"/>
        </w:rPr>
        <w:t>ConfigInfo</w:t>
      </w:r>
      <w:proofErr w:type="spellEnd"/>
    </w:p>
    <w:p w14:paraId="47344555" w14:textId="2D909CDC" w:rsidR="00794613" w:rsidRPr="00F8740E" w:rsidRDefault="00474110" w:rsidP="00F8740E">
      <w:pPr>
        <w:pStyle w:val="ListParagraph"/>
        <w:numPr>
          <w:ilvl w:val="0"/>
          <w:numId w:val="31"/>
        </w:numPr>
        <w:spacing w:beforeLines="50" w:before="120" w:after="0" w:afterAutospacing="0" w:line="240" w:lineRule="auto"/>
        <w:ind w:leftChars="0"/>
        <w:rPr>
          <w:b/>
        </w:rPr>
      </w:pPr>
      <w:r w:rsidRPr="00F8740E">
        <w:rPr>
          <w:rFonts w:ascii="Times New Roman" w:hAnsi="Times New Roman"/>
          <w:b/>
          <w:sz w:val="21"/>
          <w:szCs w:val="21"/>
        </w:rPr>
        <w:t>For the UE reporting procedure, if the UE detect the IDC issue on MR-DC frequency range combination, the UE reports the affected frequency range combination to the MN.</w:t>
      </w:r>
    </w:p>
    <w:p w14:paraId="37F4FB7D" w14:textId="1D45EC70" w:rsidR="00464F09" w:rsidRDefault="008702DF" w:rsidP="00F8740E">
      <w:pPr>
        <w:pStyle w:val="Heading2"/>
        <w:spacing w:before="240"/>
      </w:pPr>
      <w:r>
        <w:rPr>
          <w:rFonts w:hint="eastAsia"/>
        </w:rPr>
        <w:lastRenderedPageBreak/>
        <w:t>2</w:t>
      </w:r>
      <w:r>
        <w:t>.</w:t>
      </w:r>
      <w:r w:rsidR="00F8740E">
        <w:t>2</w:t>
      </w:r>
      <w:r>
        <w:t xml:space="preserve"> </w:t>
      </w:r>
      <w:r w:rsidR="00F8740E">
        <w:t>Inter</w:t>
      </w:r>
      <w:r w:rsidR="00F8740E">
        <w:rPr>
          <w:rFonts w:hint="eastAsia"/>
          <w:lang w:eastAsia="zh-CN"/>
        </w:rPr>
        <w:t>-</w:t>
      </w:r>
      <w:r w:rsidR="00F8740E">
        <w:t>node</w:t>
      </w:r>
      <w:r w:rsidR="00E45292" w:rsidRPr="00E45292">
        <w:t xml:space="preserve"> coordination for </w:t>
      </w:r>
      <w:r w:rsidR="00F8740E">
        <w:rPr>
          <w:rFonts w:hint="eastAsia"/>
          <w:lang w:eastAsia="zh-CN"/>
        </w:rPr>
        <w:t>TDM</w:t>
      </w:r>
      <w:r w:rsidR="00F8740E">
        <w:t xml:space="preserve"> solution</w:t>
      </w:r>
      <w:r w:rsidR="00AD4E3F">
        <w:t xml:space="preserve"> </w:t>
      </w:r>
    </w:p>
    <w:p w14:paraId="5BAE1CDF" w14:textId="6075B4F7" w:rsidR="00EB38BE" w:rsidRPr="00EB38BE" w:rsidRDefault="00EB38BE" w:rsidP="004124D5">
      <w:pPr>
        <w:rPr>
          <w:szCs w:val="21"/>
        </w:rPr>
      </w:pPr>
      <w:r>
        <w:rPr>
          <w:szCs w:val="21"/>
        </w:rPr>
        <w:t xml:space="preserve">Similar to the analysis for the FDM enhancement, we also provide analysis on whether inter-node coordination for TDM solution is needed </w:t>
      </w:r>
      <w:r w:rsidR="00D23E25">
        <w:rPr>
          <w:szCs w:val="21"/>
        </w:rPr>
        <w:t xml:space="preserve">on </w:t>
      </w:r>
      <w:r>
        <w:rPr>
          <w:szCs w:val="21"/>
        </w:rPr>
        <w:t>case by case</w:t>
      </w:r>
      <w:r w:rsidR="00D23E25">
        <w:rPr>
          <w:szCs w:val="21"/>
        </w:rPr>
        <w:t xml:space="preserve"> basis</w:t>
      </w:r>
      <w:r>
        <w:rPr>
          <w:szCs w:val="21"/>
        </w:rPr>
        <w:t>.</w:t>
      </w:r>
    </w:p>
    <w:p w14:paraId="4284AE23" w14:textId="77777777" w:rsidR="00EB38BE" w:rsidRPr="00474110" w:rsidRDefault="00EB38BE" w:rsidP="00EB38BE">
      <w:pPr>
        <w:pStyle w:val="ListParagraph"/>
        <w:numPr>
          <w:ilvl w:val="0"/>
          <w:numId w:val="24"/>
        </w:numPr>
        <w:spacing w:before="240" w:after="0" w:afterAutospacing="0"/>
        <w:ind w:leftChars="0"/>
        <w:rPr>
          <w:b/>
          <w:szCs w:val="21"/>
        </w:rPr>
      </w:pPr>
      <w:r w:rsidRPr="00474110">
        <w:rPr>
          <w:b/>
          <w:szCs w:val="21"/>
        </w:rPr>
        <w:t xml:space="preserve">Case 1: </w:t>
      </w:r>
      <w:r w:rsidRPr="00474110">
        <w:rPr>
          <w:rFonts w:ascii="Times New Roman" w:eastAsiaTheme="minorEastAsia" w:hAnsi="Times New Roman" w:cstheme="minorBidi"/>
          <w:b/>
          <w:kern w:val="2"/>
          <w:sz w:val="21"/>
          <w:szCs w:val="21"/>
          <w:lang w:val="en-US"/>
        </w:rPr>
        <w:t>Individual candidate frequencies range are affected by the IDC issue</w:t>
      </w:r>
    </w:p>
    <w:p w14:paraId="77193D18" w14:textId="7C57A78C" w:rsidR="00EB38BE" w:rsidRPr="00EB38BE" w:rsidRDefault="00EB38BE" w:rsidP="00EB38BE">
      <w:pPr>
        <w:pStyle w:val="ListParagraph"/>
        <w:numPr>
          <w:ilvl w:val="0"/>
          <w:numId w:val="32"/>
        </w:numPr>
        <w:ind w:leftChars="0"/>
        <w:rPr>
          <w:rFonts w:ascii="Times New Roman" w:hAnsi="Times New Roman"/>
          <w:sz w:val="21"/>
          <w:szCs w:val="21"/>
        </w:rPr>
      </w:pPr>
      <w:r w:rsidRPr="00D20113">
        <w:rPr>
          <w:rFonts w:ascii="Times New Roman" w:hAnsi="Times New Roman"/>
          <w:b/>
          <w:sz w:val="21"/>
          <w:szCs w:val="21"/>
          <w:u w:val="single"/>
        </w:rPr>
        <w:t>NW Configuration</w:t>
      </w:r>
      <w:r w:rsidRPr="00EB38BE">
        <w:rPr>
          <w:rFonts w:ascii="Times New Roman" w:hAnsi="Times New Roman"/>
          <w:sz w:val="21"/>
          <w:szCs w:val="21"/>
        </w:rPr>
        <w:t xml:space="preserve">: MN configures F1 as the candidate frequency </w:t>
      </w:r>
      <w:r>
        <w:rPr>
          <w:rFonts w:ascii="Times New Roman" w:hAnsi="Times New Roman"/>
          <w:sz w:val="21"/>
          <w:szCs w:val="21"/>
        </w:rPr>
        <w:t xml:space="preserve">and TDM </w:t>
      </w:r>
      <w:r w:rsidRPr="00EB38BE">
        <w:rPr>
          <w:rFonts w:ascii="Times New Roman" w:hAnsi="Times New Roman"/>
          <w:sz w:val="21"/>
          <w:szCs w:val="21"/>
        </w:rPr>
        <w:t xml:space="preserve">to the UE, while SN configures F2 as the candidate frequency </w:t>
      </w:r>
      <w:r>
        <w:rPr>
          <w:rFonts w:ascii="Times New Roman" w:hAnsi="Times New Roman"/>
          <w:sz w:val="21"/>
          <w:szCs w:val="21"/>
        </w:rPr>
        <w:t xml:space="preserve">and TDM </w:t>
      </w:r>
      <w:r w:rsidRPr="00EB38BE">
        <w:rPr>
          <w:rFonts w:ascii="Times New Roman" w:hAnsi="Times New Roman"/>
          <w:sz w:val="21"/>
          <w:szCs w:val="21"/>
        </w:rPr>
        <w:t>to the UE</w:t>
      </w:r>
    </w:p>
    <w:p w14:paraId="1E49AD65" w14:textId="74656527" w:rsidR="00EB38BE" w:rsidRPr="00EB38BE" w:rsidRDefault="00EB38BE" w:rsidP="00EB38BE">
      <w:pPr>
        <w:pStyle w:val="ListParagraph"/>
        <w:numPr>
          <w:ilvl w:val="0"/>
          <w:numId w:val="32"/>
        </w:numPr>
        <w:spacing w:after="0" w:afterAutospacing="0"/>
        <w:ind w:leftChars="0"/>
        <w:rPr>
          <w:rFonts w:ascii="Times New Roman" w:hAnsi="Times New Roman"/>
          <w:sz w:val="21"/>
          <w:szCs w:val="21"/>
        </w:rPr>
      </w:pPr>
      <w:r w:rsidRPr="00D20113">
        <w:rPr>
          <w:rFonts w:ascii="Times New Roman" w:hAnsi="Times New Roman"/>
          <w:b/>
          <w:sz w:val="21"/>
          <w:szCs w:val="21"/>
          <w:u w:val="single"/>
        </w:rPr>
        <w:t>UE reporting</w:t>
      </w:r>
      <w:r w:rsidRPr="00EB38BE">
        <w:rPr>
          <w:rFonts w:ascii="Times New Roman" w:hAnsi="Times New Roman"/>
          <w:sz w:val="21"/>
          <w:szCs w:val="21"/>
        </w:rPr>
        <w:t xml:space="preserve">: If UE detects IDC issue on F1, UE reports the individual affected frequency F1 </w:t>
      </w:r>
      <w:r>
        <w:rPr>
          <w:rFonts w:ascii="Times New Roman" w:hAnsi="Times New Roman"/>
          <w:sz w:val="21"/>
          <w:szCs w:val="21"/>
        </w:rPr>
        <w:t xml:space="preserve">and TDM assistance information </w:t>
      </w:r>
      <w:r w:rsidRPr="00EB38BE">
        <w:rPr>
          <w:rFonts w:ascii="Times New Roman" w:hAnsi="Times New Roman"/>
          <w:sz w:val="21"/>
          <w:szCs w:val="21"/>
        </w:rPr>
        <w:t xml:space="preserve">to the MN; If UE detects IDC issue on F2, UE reports the individual affected frequency F2 </w:t>
      </w:r>
      <w:r>
        <w:rPr>
          <w:rFonts w:ascii="Times New Roman" w:hAnsi="Times New Roman"/>
          <w:sz w:val="21"/>
          <w:szCs w:val="21"/>
        </w:rPr>
        <w:t xml:space="preserve">and the corresponding TDM assistance information </w:t>
      </w:r>
      <w:r w:rsidRPr="00EB38BE">
        <w:rPr>
          <w:rFonts w:ascii="Times New Roman" w:hAnsi="Times New Roman"/>
          <w:sz w:val="21"/>
          <w:szCs w:val="21"/>
        </w:rPr>
        <w:t>to the SN.</w:t>
      </w:r>
    </w:p>
    <w:p w14:paraId="0B8DAFEC" w14:textId="26C4D468" w:rsidR="00EB38BE" w:rsidRPr="00FD7B28" w:rsidRDefault="00EB38BE" w:rsidP="00EB38BE">
      <w:pPr>
        <w:pStyle w:val="ListParagraph"/>
        <w:spacing w:beforeLines="50" w:before="120" w:after="0" w:afterAutospacing="0"/>
        <w:ind w:leftChars="0" w:left="839" w:firstLine="0"/>
        <w:rPr>
          <w:szCs w:val="21"/>
        </w:rPr>
      </w:pPr>
      <w:r w:rsidRPr="00EB38BE">
        <w:rPr>
          <w:rFonts w:ascii="Times New Roman" w:hAnsi="Times New Roman"/>
          <w:sz w:val="21"/>
          <w:szCs w:val="21"/>
        </w:rPr>
        <w:t xml:space="preserve">For such case, </w:t>
      </w:r>
      <w:r>
        <w:rPr>
          <w:rFonts w:ascii="Times New Roman" w:hAnsi="Times New Roman"/>
          <w:sz w:val="21"/>
          <w:szCs w:val="21"/>
        </w:rPr>
        <w:t xml:space="preserve">MN and SN can decide whether to apply the TDM solution to help the UE to address the IDC issue, and if so, </w:t>
      </w:r>
      <w:r w:rsidR="00635683">
        <w:rPr>
          <w:rFonts w:ascii="Times New Roman" w:hAnsi="Times New Roman"/>
          <w:sz w:val="21"/>
          <w:szCs w:val="21"/>
        </w:rPr>
        <w:t xml:space="preserve">they can </w:t>
      </w:r>
      <w:r>
        <w:rPr>
          <w:rFonts w:ascii="Times New Roman" w:hAnsi="Times New Roman"/>
          <w:sz w:val="21"/>
          <w:szCs w:val="21"/>
        </w:rPr>
        <w:t>configure the proper DRX</w:t>
      </w:r>
      <w:r w:rsidR="00D23E25">
        <w:rPr>
          <w:rFonts w:ascii="Times New Roman" w:hAnsi="Times New Roman"/>
          <w:sz w:val="21"/>
          <w:szCs w:val="21"/>
        </w:rPr>
        <w:t>/periodic pattern</w:t>
      </w:r>
      <w:r>
        <w:rPr>
          <w:rFonts w:ascii="Times New Roman" w:hAnsi="Times New Roman"/>
          <w:sz w:val="21"/>
          <w:szCs w:val="21"/>
        </w:rPr>
        <w:t xml:space="preserve"> for the UE based on the UE’s TDM assistance information independently. So, </w:t>
      </w:r>
      <w:r w:rsidRPr="00EB38BE">
        <w:rPr>
          <w:rFonts w:ascii="Times New Roman" w:hAnsi="Times New Roman"/>
          <w:sz w:val="21"/>
          <w:szCs w:val="21"/>
        </w:rPr>
        <w:t xml:space="preserve">there is no need for any coordination either for configuration or solution between MN and SN. </w:t>
      </w:r>
    </w:p>
    <w:p w14:paraId="55A29500" w14:textId="77777777" w:rsidR="00EB38BE" w:rsidRPr="00474110" w:rsidRDefault="00EB38BE" w:rsidP="00EB38BE">
      <w:pPr>
        <w:pStyle w:val="ListParagraph"/>
        <w:numPr>
          <w:ilvl w:val="0"/>
          <w:numId w:val="24"/>
        </w:numPr>
        <w:spacing w:before="240" w:after="0" w:afterAutospacing="0"/>
        <w:ind w:leftChars="0"/>
        <w:rPr>
          <w:b/>
          <w:szCs w:val="21"/>
        </w:rPr>
      </w:pPr>
      <w:r w:rsidRPr="00474110">
        <w:rPr>
          <w:b/>
          <w:szCs w:val="21"/>
        </w:rPr>
        <w:t xml:space="preserve">Case 2: Combination of candidate frequency ranges due to UL CA are affected by the IDC issue  </w:t>
      </w:r>
    </w:p>
    <w:p w14:paraId="593AF78A" w14:textId="506D4A36" w:rsidR="00EB38BE" w:rsidRPr="00EB38BE" w:rsidRDefault="00EB38BE" w:rsidP="00EB38BE">
      <w:pPr>
        <w:pStyle w:val="ListParagraph"/>
        <w:numPr>
          <w:ilvl w:val="0"/>
          <w:numId w:val="32"/>
        </w:numPr>
        <w:ind w:leftChars="0"/>
        <w:rPr>
          <w:rFonts w:ascii="Times New Roman" w:hAnsi="Times New Roman"/>
          <w:sz w:val="21"/>
          <w:szCs w:val="21"/>
        </w:rPr>
      </w:pPr>
      <w:r w:rsidRPr="00D20113">
        <w:rPr>
          <w:rFonts w:ascii="Times New Roman" w:hAnsi="Times New Roman"/>
          <w:b/>
          <w:sz w:val="21"/>
          <w:szCs w:val="21"/>
          <w:u w:val="single"/>
        </w:rPr>
        <w:t>NW Configuration</w:t>
      </w:r>
      <w:r w:rsidRPr="00EB38BE">
        <w:rPr>
          <w:rFonts w:ascii="Times New Roman" w:hAnsi="Times New Roman"/>
          <w:sz w:val="21"/>
          <w:szCs w:val="21"/>
        </w:rPr>
        <w:t xml:space="preserve">: MN configures F1 and F2 as the candidate frequency </w:t>
      </w:r>
      <w:r w:rsidR="00635683">
        <w:rPr>
          <w:rFonts w:ascii="Times New Roman" w:hAnsi="Times New Roman"/>
          <w:sz w:val="21"/>
          <w:szCs w:val="21"/>
        </w:rPr>
        <w:t xml:space="preserve">and TDM </w:t>
      </w:r>
      <w:r w:rsidRPr="00EB38BE">
        <w:rPr>
          <w:rFonts w:ascii="Times New Roman" w:hAnsi="Times New Roman"/>
          <w:sz w:val="21"/>
          <w:szCs w:val="21"/>
        </w:rPr>
        <w:t>to the UE, while SN configures F3 and F4 as the candidate frequency</w:t>
      </w:r>
      <w:r w:rsidR="00635683">
        <w:rPr>
          <w:rFonts w:ascii="Times New Roman" w:hAnsi="Times New Roman"/>
          <w:sz w:val="21"/>
          <w:szCs w:val="21"/>
        </w:rPr>
        <w:t xml:space="preserve"> and TDM</w:t>
      </w:r>
      <w:r w:rsidRPr="00EB38BE">
        <w:rPr>
          <w:rFonts w:ascii="Times New Roman" w:hAnsi="Times New Roman"/>
          <w:sz w:val="21"/>
          <w:szCs w:val="21"/>
        </w:rPr>
        <w:t xml:space="preserve"> to the UE</w:t>
      </w:r>
    </w:p>
    <w:p w14:paraId="46376178" w14:textId="77777777" w:rsidR="00EB38BE" w:rsidRPr="00EB38BE" w:rsidRDefault="00EB38BE" w:rsidP="00EB38BE">
      <w:pPr>
        <w:pStyle w:val="ListParagraph"/>
        <w:numPr>
          <w:ilvl w:val="0"/>
          <w:numId w:val="32"/>
        </w:numPr>
        <w:spacing w:after="0" w:afterAutospacing="0"/>
        <w:ind w:leftChars="0"/>
        <w:rPr>
          <w:rFonts w:ascii="Times New Roman" w:hAnsi="Times New Roman"/>
          <w:sz w:val="21"/>
          <w:szCs w:val="21"/>
          <w:lang w:val="en-US"/>
        </w:rPr>
      </w:pPr>
      <w:r w:rsidRPr="00D20113">
        <w:rPr>
          <w:rFonts w:ascii="Times New Roman" w:hAnsi="Times New Roman"/>
          <w:b/>
          <w:sz w:val="21"/>
          <w:szCs w:val="21"/>
          <w:u w:val="single"/>
        </w:rPr>
        <w:t>UE reporting</w:t>
      </w:r>
      <w:r w:rsidRPr="00EB38BE">
        <w:rPr>
          <w:rFonts w:ascii="Times New Roman" w:hAnsi="Times New Roman"/>
          <w:sz w:val="21"/>
          <w:szCs w:val="21"/>
        </w:rPr>
        <w:t>: If UE detects IDC issue on UL CA combination of F1 and F2, UE reports the affected frequency combination F1+F2 to the MN; If UE detects IDC issue on UL CA combination of F3 and F4, UE reports the affected frequency combination F3+F4 to the SN.</w:t>
      </w:r>
    </w:p>
    <w:p w14:paraId="55A3077E" w14:textId="2066EEA5" w:rsidR="00EB38BE" w:rsidRPr="00094856" w:rsidRDefault="00635683" w:rsidP="00094856">
      <w:pPr>
        <w:pStyle w:val="ListParagraph"/>
        <w:spacing w:before="240" w:after="0" w:afterAutospacing="0"/>
        <w:ind w:leftChars="0" w:left="840" w:firstLine="0"/>
        <w:rPr>
          <w:rFonts w:ascii="Times New Roman" w:hAnsi="Times New Roman"/>
          <w:sz w:val="21"/>
          <w:szCs w:val="21"/>
        </w:rPr>
      </w:pPr>
      <w:r>
        <w:rPr>
          <w:rFonts w:ascii="Times New Roman" w:hAnsi="Times New Roman"/>
          <w:sz w:val="21"/>
          <w:szCs w:val="21"/>
        </w:rPr>
        <w:t xml:space="preserve">According to the current running CR [2], </w:t>
      </w:r>
      <w:r w:rsidR="00A04CCF">
        <w:rPr>
          <w:rFonts w:ascii="Times New Roman" w:hAnsi="Times New Roman"/>
          <w:sz w:val="21"/>
          <w:szCs w:val="21"/>
        </w:rPr>
        <w:t xml:space="preserve">UE </w:t>
      </w:r>
      <w:r w:rsidR="00D23E25">
        <w:rPr>
          <w:rFonts w:ascii="Times New Roman" w:hAnsi="Times New Roman"/>
          <w:sz w:val="21"/>
          <w:szCs w:val="21"/>
        </w:rPr>
        <w:t xml:space="preserve">can </w:t>
      </w:r>
      <w:r w:rsidR="00A04CCF">
        <w:rPr>
          <w:rFonts w:ascii="Times New Roman" w:hAnsi="Times New Roman"/>
          <w:sz w:val="21"/>
          <w:szCs w:val="21"/>
        </w:rPr>
        <w:t>also report the TDM assistance information</w:t>
      </w:r>
      <w:r>
        <w:rPr>
          <w:rFonts w:ascii="Times New Roman" w:hAnsi="Times New Roman"/>
          <w:sz w:val="21"/>
          <w:szCs w:val="21"/>
        </w:rPr>
        <w:t xml:space="preserve"> for the NR UL CA </w:t>
      </w:r>
      <w:r w:rsidR="00F50A38">
        <w:rPr>
          <w:rFonts w:ascii="Times New Roman" w:hAnsi="Times New Roman"/>
          <w:sz w:val="21"/>
          <w:szCs w:val="21"/>
        </w:rPr>
        <w:t>case</w:t>
      </w:r>
      <w:r w:rsidR="00F50A38">
        <w:rPr>
          <w:rFonts w:asciiTheme="minorEastAsia" w:eastAsiaTheme="minorEastAsia" w:hAnsiTheme="minorEastAsia"/>
          <w:sz w:val="21"/>
          <w:szCs w:val="21"/>
        </w:rPr>
        <w:t>.</w:t>
      </w:r>
      <w:r w:rsidR="00F50A38">
        <w:rPr>
          <w:rFonts w:ascii="Times New Roman" w:hAnsi="Times New Roman"/>
          <w:sz w:val="21"/>
          <w:szCs w:val="21"/>
        </w:rPr>
        <w:t xml:space="preserve"> </w:t>
      </w:r>
      <w:r w:rsidR="00A04CCF">
        <w:rPr>
          <w:rFonts w:ascii="Times New Roman" w:hAnsi="Times New Roman"/>
          <w:sz w:val="21"/>
          <w:szCs w:val="21"/>
        </w:rPr>
        <w:t>I</w:t>
      </w:r>
      <w:r w:rsidR="00094856">
        <w:rPr>
          <w:rFonts w:ascii="Times New Roman" w:hAnsi="Times New Roman"/>
          <w:sz w:val="21"/>
          <w:szCs w:val="21"/>
        </w:rPr>
        <w:t>f majority compan</w:t>
      </w:r>
      <w:r w:rsidR="00A04CCF">
        <w:rPr>
          <w:rFonts w:ascii="Times New Roman" w:hAnsi="Times New Roman"/>
          <w:sz w:val="21"/>
          <w:szCs w:val="21"/>
        </w:rPr>
        <w:t>ies</w:t>
      </w:r>
      <w:r w:rsidR="00094856">
        <w:rPr>
          <w:rFonts w:ascii="Times New Roman" w:hAnsi="Times New Roman"/>
          <w:sz w:val="21"/>
          <w:szCs w:val="21"/>
        </w:rPr>
        <w:t xml:space="preserve"> support th</w:t>
      </w:r>
      <w:r w:rsidR="009C4F13">
        <w:rPr>
          <w:rFonts w:ascii="Times New Roman" w:hAnsi="Times New Roman"/>
          <w:sz w:val="21"/>
          <w:szCs w:val="21"/>
        </w:rPr>
        <w:t>at</w:t>
      </w:r>
      <w:r w:rsidR="00094856">
        <w:rPr>
          <w:rFonts w:ascii="Times New Roman" w:hAnsi="Times New Roman"/>
          <w:sz w:val="21"/>
          <w:szCs w:val="21"/>
        </w:rPr>
        <w:t xml:space="preserve"> TDM solution </w:t>
      </w:r>
      <w:r w:rsidR="003042BC">
        <w:rPr>
          <w:rFonts w:ascii="Times New Roman" w:hAnsi="Times New Roman"/>
          <w:sz w:val="21"/>
          <w:szCs w:val="21"/>
        </w:rPr>
        <w:t xml:space="preserve">based on UE’s TDM assistance information </w:t>
      </w:r>
      <w:r w:rsidR="00094856">
        <w:rPr>
          <w:rFonts w:ascii="Times New Roman" w:hAnsi="Times New Roman"/>
          <w:sz w:val="21"/>
          <w:szCs w:val="21"/>
        </w:rPr>
        <w:t xml:space="preserve">can also be applied to NR UL CA case, we think the MN </w:t>
      </w:r>
      <w:r w:rsidR="009D59C5">
        <w:rPr>
          <w:rFonts w:ascii="Times New Roman" w:hAnsi="Times New Roman"/>
          <w:sz w:val="21"/>
          <w:szCs w:val="21"/>
        </w:rPr>
        <w:t xml:space="preserve">or </w:t>
      </w:r>
      <w:r w:rsidR="00094856">
        <w:rPr>
          <w:rFonts w:ascii="Times New Roman" w:hAnsi="Times New Roman"/>
          <w:sz w:val="21"/>
          <w:szCs w:val="21"/>
        </w:rPr>
        <w:t xml:space="preserve">SN can configure  proper DRX for the UE based on the UE’s TDM assistance information independently as for Case 1, i.e. </w:t>
      </w:r>
      <w:r w:rsidR="00EB38BE" w:rsidRPr="00094856">
        <w:rPr>
          <w:rFonts w:ascii="Times New Roman" w:hAnsi="Times New Roman"/>
          <w:sz w:val="21"/>
          <w:szCs w:val="21"/>
        </w:rPr>
        <w:t>there is also no need for any coordination either for configuration or solution between MN and SN.</w:t>
      </w:r>
    </w:p>
    <w:p w14:paraId="6A6350E0" w14:textId="77777777" w:rsidR="00EB38BE" w:rsidRPr="00474110" w:rsidRDefault="00EB38BE" w:rsidP="00EB38BE">
      <w:pPr>
        <w:pStyle w:val="ListParagraph"/>
        <w:numPr>
          <w:ilvl w:val="0"/>
          <w:numId w:val="24"/>
        </w:numPr>
        <w:spacing w:before="240" w:after="0" w:afterAutospacing="0"/>
        <w:ind w:leftChars="0"/>
        <w:rPr>
          <w:lang w:val="en-US"/>
        </w:rPr>
      </w:pPr>
      <w:r w:rsidRPr="00474110">
        <w:rPr>
          <w:b/>
        </w:rPr>
        <w:t>Case 3:</w:t>
      </w:r>
      <w:r>
        <w:t xml:space="preserve"> </w:t>
      </w:r>
      <w:r w:rsidRPr="0029086C">
        <w:rPr>
          <w:b/>
          <w:szCs w:val="21"/>
        </w:rPr>
        <w:t xml:space="preserve">Combination of candidate frequency ranges due to </w:t>
      </w:r>
      <w:r>
        <w:rPr>
          <w:b/>
          <w:szCs w:val="21"/>
        </w:rPr>
        <w:t>MR DC</w:t>
      </w:r>
      <w:r w:rsidRPr="0029086C">
        <w:rPr>
          <w:b/>
          <w:szCs w:val="21"/>
        </w:rPr>
        <w:t xml:space="preserve"> are affected by the IDC issue</w:t>
      </w:r>
    </w:p>
    <w:p w14:paraId="59617EE9" w14:textId="04233075" w:rsidR="003022D4" w:rsidRPr="003022D4" w:rsidRDefault="00EB38BE" w:rsidP="003022D4">
      <w:pPr>
        <w:pStyle w:val="ListParagraph"/>
        <w:numPr>
          <w:ilvl w:val="0"/>
          <w:numId w:val="32"/>
        </w:numPr>
        <w:spacing w:after="0" w:afterAutospacing="0"/>
        <w:ind w:leftChars="0"/>
        <w:rPr>
          <w:rFonts w:ascii="Times New Roman" w:hAnsi="Times New Roman"/>
          <w:sz w:val="21"/>
          <w:szCs w:val="21"/>
          <w:lang w:val="en-US"/>
        </w:rPr>
      </w:pPr>
      <w:r w:rsidRPr="00D20113">
        <w:rPr>
          <w:rFonts w:ascii="Times New Roman" w:hAnsi="Times New Roman"/>
          <w:b/>
          <w:sz w:val="21"/>
          <w:szCs w:val="21"/>
          <w:u w:val="single"/>
        </w:rPr>
        <w:t>NW Configuration</w:t>
      </w:r>
      <w:r w:rsidRPr="003022D4">
        <w:rPr>
          <w:rFonts w:ascii="Times New Roman" w:hAnsi="Times New Roman"/>
          <w:sz w:val="21"/>
          <w:szCs w:val="21"/>
        </w:rPr>
        <w:t xml:space="preserve">: MN configures F1 as the candidate frequency </w:t>
      </w:r>
      <w:r w:rsidR="003022D4">
        <w:rPr>
          <w:rFonts w:ascii="Times New Roman" w:hAnsi="Times New Roman"/>
          <w:sz w:val="21"/>
          <w:szCs w:val="21"/>
        </w:rPr>
        <w:t xml:space="preserve">and TDM </w:t>
      </w:r>
      <w:r w:rsidRPr="003022D4">
        <w:rPr>
          <w:rFonts w:ascii="Times New Roman" w:hAnsi="Times New Roman"/>
          <w:sz w:val="21"/>
          <w:szCs w:val="21"/>
        </w:rPr>
        <w:t xml:space="preserve">to the UE, while SN configures F2 as the candidate frequency </w:t>
      </w:r>
      <w:r w:rsidR="003022D4">
        <w:rPr>
          <w:rFonts w:ascii="Times New Roman" w:hAnsi="Times New Roman"/>
          <w:sz w:val="21"/>
          <w:szCs w:val="21"/>
        </w:rPr>
        <w:t xml:space="preserve">and TDM </w:t>
      </w:r>
      <w:r w:rsidRPr="003022D4">
        <w:rPr>
          <w:rFonts w:ascii="Times New Roman" w:hAnsi="Times New Roman"/>
          <w:sz w:val="21"/>
          <w:szCs w:val="21"/>
        </w:rPr>
        <w:t>to the UE</w:t>
      </w:r>
    </w:p>
    <w:p w14:paraId="593D0362" w14:textId="7AEC6EC1" w:rsidR="00707F62" w:rsidRPr="003022D4" w:rsidRDefault="00EB38BE" w:rsidP="003022D4">
      <w:pPr>
        <w:pStyle w:val="ListParagraph"/>
        <w:numPr>
          <w:ilvl w:val="0"/>
          <w:numId w:val="32"/>
        </w:numPr>
        <w:spacing w:after="0" w:afterAutospacing="0"/>
        <w:ind w:leftChars="0"/>
        <w:rPr>
          <w:rFonts w:ascii="Times New Roman" w:hAnsi="Times New Roman"/>
          <w:sz w:val="21"/>
          <w:szCs w:val="21"/>
          <w:lang w:val="en-US"/>
        </w:rPr>
      </w:pPr>
      <w:r w:rsidRPr="00D20113">
        <w:rPr>
          <w:rFonts w:ascii="Times New Roman" w:hAnsi="Times New Roman"/>
          <w:b/>
          <w:sz w:val="21"/>
          <w:szCs w:val="21"/>
          <w:u w:val="single"/>
        </w:rPr>
        <w:t>UE reporting</w:t>
      </w:r>
      <w:r w:rsidRPr="003022D4">
        <w:rPr>
          <w:rFonts w:ascii="Times New Roman" w:hAnsi="Times New Roman"/>
          <w:sz w:val="21"/>
          <w:szCs w:val="21"/>
        </w:rPr>
        <w:t>: If UE detects IDC issue on MR-DC combination of F1 and F2, then how the UE report</w:t>
      </w:r>
      <w:r w:rsidR="00D23E25">
        <w:rPr>
          <w:rFonts w:ascii="Times New Roman" w:hAnsi="Times New Roman"/>
          <w:sz w:val="21"/>
          <w:szCs w:val="21"/>
        </w:rPr>
        <w:t>s</w:t>
      </w:r>
      <w:r w:rsidRPr="003022D4">
        <w:rPr>
          <w:rFonts w:ascii="Times New Roman" w:hAnsi="Times New Roman"/>
          <w:sz w:val="21"/>
          <w:szCs w:val="21"/>
        </w:rPr>
        <w:t xml:space="preserve"> </w:t>
      </w:r>
      <w:r w:rsidR="003022D4">
        <w:rPr>
          <w:rFonts w:ascii="Times New Roman" w:hAnsi="Times New Roman"/>
          <w:sz w:val="21"/>
          <w:szCs w:val="21"/>
        </w:rPr>
        <w:t xml:space="preserve">the TDM assistance information </w:t>
      </w:r>
      <w:r w:rsidRPr="003022D4">
        <w:rPr>
          <w:rFonts w:ascii="Times New Roman" w:hAnsi="Times New Roman"/>
          <w:sz w:val="21"/>
          <w:szCs w:val="21"/>
        </w:rPr>
        <w:t xml:space="preserve">seems </w:t>
      </w:r>
      <w:r w:rsidR="00D23E25">
        <w:rPr>
          <w:rFonts w:ascii="Times New Roman" w:hAnsi="Times New Roman"/>
          <w:sz w:val="21"/>
          <w:szCs w:val="21"/>
        </w:rPr>
        <w:t xml:space="preserve">to be unclear </w:t>
      </w:r>
      <w:r w:rsidR="00BD792B">
        <w:rPr>
          <w:rFonts w:ascii="Times New Roman" w:hAnsi="Times New Roman"/>
          <w:sz w:val="21"/>
          <w:szCs w:val="21"/>
        </w:rPr>
        <w:t xml:space="preserve">in RAN 2 </w:t>
      </w:r>
      <w:r w:rsidR="00D23E25">
        <w:rPr>
          <w:rFonts w:ascii="Times New Roman" w:hAnsi="Times New Roman"/>
          <w:sz w:val="21"/>
          <w:szCs w:val="21"/>
        </w:rPr>
        <w:t xml:space="preserve">and we do </w:t>
      </w:r>
      <w:r w:rsidRPr="003022D4">
        <w:rPr>
          <w:rFonts w:ascii="Times New Roman" w:hAnsi="Times New Roman"/>
          <w:sz w:val="21"/>
          <w:szCs w:val="21"/>
        </w:rPr>
        <w:t>not have common understanding</w:t>
      </w:r>
      <w:r w:rsidR="00BD792B">
        <w:rPr>
          <w:rFonts w:ascii="Times New Roman" w:hAnsi="Times New Roman"/>
          <w:sz w:val="21"/>
          <w:szCs w:val="21"/>
        </w:rPr>
        <w:t xml:space="preserve"> for this scenario</w:t>
      </w:r>
      <w:r w:rsidRPr="003022D4">
        <w:rPr>
          <w:rFonts w:ascii="Times New Roman" w:hAnsi="Times New Roman"/>
          <w:sz w:val="21"/>
          <w:szCs w:val="21"/>
        </w:rPr>
        <w:t xml:space="preserve"> in RAN2.</w:t>
      </w:r>
    </w:p>
    <w:p w14:paraId="3CAD050B" w14:textId="27DDFF4B" w:rsidR="00D50C70" w:rsidRDefault="00A04CCF" w:rsidP="00A04CCF">
      <w:pPr>
        <w:spacing w:beforeLines="50" w:before="120" w:line="300" w:lineRule="auto"/>
        <w:rPr>
          <w:szCs w:val="21"/>
        </w:rPr>
      </w:pPr>
      <w:r>
        <w:rPr>
          <w:szCs w:val="21"/>
        </w:rPr>
        <w:t>According to the current running CR [2], UE also reports the TDM assistance information for the NR-DC case.</w:t>
      </w:r>
      <w:r w:rsidR="002E0C7B">
        <w:rPr>
          <w:szCs w:val="21"/>
        </w:rPr>
        <w:t xml:space="preserve"> </w:t>
      </w:r>
      <w:r>
        <w:rPr>
          <w:szCs w:val="21"/>
        </w:rPr>
        <w:t>If majority companies support th</w:t>
      </w:r>
      <w:r w:rsidR="009C4F13">
        <w:rPr>
          <w:szCs w:val="21"/>
        </w:rPr>
        <w:t>at</w:t>
      </w:r>
      <w:r>
        <w:rPr>
          <w:szCs w:val="21"/>
        </w:rPr>
        <w:t xml:space="preserve"> TDM solution</w:t>
      </w:r>
      <w:r w:rsidR="003042BC" w:rsidRPr="003042BC">
        <w:rPr>
          <w:szCs w:val="21"/>
        </w:rPr>
        <w:t xml:space="preserve"> </w:t>
      </w:r>
      <w:r w:rsidR="003042BC">
        <w:rPr>
          <w:szCs w:val="21"/>
        </w:rPr>
        <w:t>based on UE’s TDM assistance information</w:t>
      </w:r>
      <w:r>
        <w:rPr>
          <w:szCs w:val="21"/>
        </w:rPr>
        <w:t xml:space="preserve"> can also be applied to NR DC case, we need to discuss the</w:t>
      </w:r>
      <w:r w:rsidR="003042BC">
        <w:rPr>
          <w:szCs w:val="21"/>
        </w:rPr>
        <w:t xml:space="preserve"> </w:t>
      </w:r>
      <w:r w:rsidR="00D20113">
        <w:rPr>
          <w:szCs w:val="21"/>
        </w:rPr>
        <w:t xml:space="preserve">details of the </w:t>
      </w:r>
      <w:r w:rsidR="003042BC">
        <w:rPr>
          <w:szCs w:val="21"/>
        </w:rPr>
        <w:t xml:space="preserve">procedure for </w:t>
      </w:r>
      <w:r w:rsidR="00D20113">
        <w:rPr>
          <w:szCs w:val="21"/>
        </w:rPr>
        <w:t>this</w:t>
      </w:r>
      <w:r w:rsidR="003042BC">
        <w:rPr>
          <w:szCs w:val="21"/>
        </w:rPr>
        <w:t xml:space="preserve"> case.</w:t>
      </w:r>
    </w:p>
    <w:p w14:paraId="69F9ABEE" w14:textId="7618FA36" w:rsidR="003042BC" w:rsidRDefault="003042BC" w:rsidP="00A04CCF">
      <w:pPr>
        <w:spacing w:beforeLines="50" w:before="120" w:line="300" w:lineRule="auto"/>
        <w:rPr>
          <w:szCs w:val="21"/>
        </w:rPr>
      </w:pPr>
      <w:r>
        <w:rPr>
          <w:szCs w:val="21"/>
        </w:rPr>
        <w:t xml:space="preserve">Since the IDC issue is caused by the simultaneous transmission on the MCG UL carrier and the SCG UL carrier, there is no IDC issue for the non-3GPP reception as long as </w:t>
      </w:r>
      <w:r w:rsidR="00BD792B">
        <w:rPr>
          <w:szCs w:val="21"/>
        </w:rPr>
        <w:t xml:space="preserve">there is </w:t>
      </w:r>
      <w:r>
        <w:rPr>
          <w:szCs w:val="21"/>
        </w:rPr>
        <w:t xml:space="preserve">no simultaneous transmission from the 3GPP side. </w:t>
      </w:r>
      <w:r w:rsidRPr="009D59C5">
        <w:rPr>
          <w:szCs w:val="21"/>
        </w:rPr>
        <w:t xml:space="preserve">So, only one node needs to configure proper DRX to the UE based on the TDM assistance information. During the </w:t>
      </w:r>
      <w:r w:rsidRPr="0005601D">
        <w:rPr>
          <w:szCs w:val="21"/>
        </w:rPr>
        <w:t xml:space="preserve">inactive time of the DRX configured by this node, it will not schedule the UE’s UL transmission. Then no matter whether the other node </w:t>
      </w:r>
      <w:r w:rsidR="00C56913" w:rsidRPr="0005601D">
        <w:rPr>
          <w:szCs w:val="21"/>
        </w:rPr>
        <w:t>schedule</w:t>
      </w:r>
      <w:r w:rsidR="009D59C5" w:rsidRPr="009D59C5">
        <w:rPr>
          <w:szCs w:val="21"/>
        </w:rPr>
        <w:t>s</w:t>
      </w:r>
      <w:r w:rsidR="00C56913" w:rsidRPr="009D59C5">
        <w:rPr>
          <w:szCs w:val="21"/>
        </w:rPr>
        <w:t xml:space="preserve"> the UE’s UL transmission or not, there </w:t>
      </w:r>
      <w:r w:rsidR="009D59C5" w:rsidRPr="009D59C5">
        <w:rPr>
          <w:szCs w:val="21"/>
        </w:rPr>
        <w:t xml:space="preserve">will be </w:t>
      </w:r>
      <w:r w:rsidR="00C56913" w:rsidRPr="009D59C5">
        <w:rPr>
          <w:szCs w:val="21"/>
        </w:rPr>
        <w:t>no IDC issue.</w:t>
      </w:r>
      <w:r>
        <w:rPr>
          <w:szCs w:val="21"/>
        </w:rPr>
        <w:t xml:space="preserve"> </w:t>
      </w:r>
    </w:p>
    <w:p w14:paraId="3F0943B3" w14:textId="65A55886" w:rsidR="00C56913" w:rsidRDefault="00C56913" w:rsidP="00A04CCF">
      <w:pPr>
        <w:spacing w:beforeLines="50" w:before="120" w:line="300" w:lineRule="auto"/>
        <w:rPr>
          <w:szCs w:val="21"/>
        </w:rPr>
      </w:pPr>
      <w:r>
        <w:rPr>
          <w:szCs w:val="21"/>
        </w:rPr>
        <w:t xml:space="preserve">Based on the analysis, we think the UE only needs to report the TDM assistance information to the MN in case of IMD issue are detected for the NR-DC. After receiving the UE’s TDM assistance information together with the affected frequency range combination, </w:t>
      </w:r>
      <w:r w:rsidRPr="004E2AEA">
        <w:rPr>
          <w:rFonts w:cs="Times New Roman"/>
          <w:szCs w:val="21"/>
        </w:rPr>
        <w:t xml:space="preserve">it is up to the MN </w:t>
      </w:r>
      <w:r>
        <w:rPr>
          <w:rFonts w:cs="Times New Roman"/>
          <w:szCs w:val="21"/>
        </w:rPr>
        <w:t xml:space="preserve">to decide </w:t>
      </w:r>
      <w:r w:rsidRPr="004E2AEA">
        <w:rPr>
          <w:rFonts w:cs="Times New Roman"/>
          <w:szCs w:val="21"/>
        </w:rPr>
        <w:t xml:space="preserve">how to address the IDC issue </w:t>
      </w:r>
      <w:r>
        <w:rPr>
          <w:rFonts w:cs="Times New Roman"/>
          <w:szCs w:val="21"/>
        </w:rPr>
        <w:t xml:space="preserve">by using TDM solution </w:t>
      </w:r>
      <w:r w:rsidRPr="004E2AEA">
        <w:rPr>
          <w:rFonts w:cs="Times New Roman"/>
          <w:szCs w:val="21"/>
        </w:rPr>
        <w:t xml:space="preserve">for the UE as </w:t>
      </w:r>
      <w:r w:rsidR="009D59C5">
        <w:rPr>
          <w:rFonts w:cs="Times New Roman"/>
          <w:szCs w:val="21"/>
        </w:rPr>
        <w:t xml:space="preserve">described </w:t>
      </w:r>
      <w:r w:rsidRPr="004E2AEA">
        <w:rPr>
          <w:rFonts w:cs="Times New Roman"/>
          <w:szCs w:val="21"/>
        </w:rPr>
        <w:t>below.</w:t>
      </w:r>
    </w:p>
    <w:p w14:paraId="6FF2FBDC" w14:textId="3743D01F" w:rsidR="00F50A38" w:rsidRPr="00F50A38" w:rsidRDefault="00C56913" w:rsidP="00F50A38">
      <w:pPr>
        <w:pStyle w:val="ListParagraph"/>
        <w:numPr>
          <w:ilvl w:val="0"/>
          <w:numId w:val="24"/>
        </w:numPr>
        <w:spacing w:beforeLines="50" w:before="120"/>
        <w:ind w:leftChars="0"/>
      </w:pPr>
      <w:r>
        <w:rPr>
          <w:rFonts w:ascii="Times New Roman" w:eastAsiaTheme="minorEastAsia" w:hAnsi="Times New Roman" w:cstheme="minorBidi"/>
          <w:kern w:val="2"/>
          <w:sz w:val="21"/>
          <w:szCs w:val="21"/>
          <w:lang w:val="en-US"/>
        </w:rPr>
        <w:lastRenderedPageBreak/>
        <w:t>I</w:t>
      </w:r>
      <w:r w:rsidRPr="00C56913">
        <w:rPr>
          <w:rFonts w:ascii="Times New Roman" w:eastAsiaTheme="minorEastAsia" w:hAnsi="Times New Roman" w:cstheme="minorBidi"/>
          <w:kern w:val="2"/>
          <w:sz w:val="21"/>
          <w:szCs w:val="21"/>
          <w:lang w:val="en-US"/>
        </w:rPr>
        <w:t xml:space="preserve">f the MN decides to </w:t>
      </w:r>
      <w:r>
        <w:rPr>
          <w:rFonts w:ascii="Times New Roman" w:eastAsiaTheme="minorEastAsia" w:hAnsi="Times New Roman" w:cstheme="minorBidi"/>
          <w:kern w:val="2"/>
          <w:sz w:val="21"/>
          <w:szCs w:val="21"/>
          <w:lang w:val="en-US"/>
        </w:rPr>
        <w:t xml:space="preserve">address the IDC </w:t>
      </w:r>
      <w:r w:rsidR="00F50A38">
        <w:rPr>
          <w:rFonts w:ascii="Times New Roman" w:eastAsiaTheme="minorEastAsia" w:hAnsi="Times New Roman" w:cstheme="minorBidi"/>
          <w:kern w:val="2"/>
          <w:sz w:val="21"/>
          <w:szCs w:val="21"/>
          <w:lang w:val="en-US"/>
        </w:rPr>
        <w:t xml:space="preserve">problem </w:t>
      </w:r>
      <w:r w:rsidR="00F50A38" w:rsidRPr="004E2AEA">
        <w:rPr>
          <w:rFonts w:ascii="Times New Roman" w:hAnsi="Times New Roman"/>
          <w:sz w:val="21"/>
          <w:szCs w:val="21"/>
        </w:rPr>
        <w:t>caused by the MR-DC frequency combination</w:t>
      </w:r>
      <w:r w:rsidR="00F50A38">
        <w:rPr>
          <w:rFonts w:ascii="Times New Roman" w:eastAsiaTheme="minorEastAsia" w:hAnsi="Times New Roman" w:cstheme="minorBidi"/>
          <w:kern w:val="2"/>
          <w:sz w:val="21"/>
          <w:szCs w:val="21"/>
          <w:lang w:val="en-US"/>
        </w:rPr>
        <w:t xml:space="preserve"> </w:t>
      </w:r>
      <w:r>
        <w:rPr>
          <w:rFonts w:ascii="Times New Roman" w:eastAsiaTheme="minorEastAsia" w:hAnsi="Times New Roman" w:cstheme="minorBidi"/>
          <w:kern w:val="2"/>
          <w:sz w:val="21"/>
          <w:szCs w:val="21"/>
          <w:lang w:val="en-US"/>
        </w:rPr>
        <w:t xml:space="preserve">by itself and </w:t>
      </w:r>
      <w:r w:rsidRPr="00C56913">
        <w:rPr>
          <w:rFonts w:ascii="Times New Roman" w:eastAsiaTheme="minorEastAsia" w:hAnsi="Times New Roman" w:cstheme="minorBidi"/>
          <w:kern w:val="2"/>
          <w:sz w:val="21"/>
          <w:szCs w:val="21"/>
          <w:lang w:val="en-US"/>
        </w:rPr>
        <w:t xml:space="preserve">apply TDM solution, it can (re)configure the DRX for the UE without </w:t>
      </w:r>
      <w:r w:rsidR="00B33CAA">
        <w:rPr>
          <w:rFonts w:ascii="Times New Roman" w:eastAsiaTheme="minorEastAsia" w:hAnsi="Times New Roman" w:cstheme="minorBidi"/>
          <w:kern w:val="2"/>
          <w:sz w:val="21"/>
          <w:szCs w:val="21"/>
          <w:lang w:val="en-US"/>
        </w:rPr>
        <w:t xml:space="preserve">sending any </w:t>
      </w:r>
      <w:r w:rsidRPr="00C56913">
        <w:rPr>
          <w:rFonts w:ascii="Times New Roman" w:eastAsiaTheme="minorEastAsia" w:hAnsi="Times New Roman" w:cstheme="minorBidi"/>
          <w:kern w:val="2"/>
          <w:sz w:val="21"/>
          <w:szCs w:val="21"/>
          <w:lang w:val="en-US"/>
        </w:rPr>
        <w:t xml:space="preserve">informing to the SN. </w:t>
      </w:r>
    </w:p>
    <w:p w14:paraId="78DDCC49" w14:textId="6943950A" w:rsidR="00F50A38" w:rsidRPr="00930CDC" w:rsidRDefault="00F50A38" w:rsidP="00F50A38">
      <w:pPr>
        <w:pStyle w:val="ListParagraph"/>
        <w:numPr>
          <w:ilvl w:val="0"/>
          <w:numId w:val="24"/>
        </w:numPr>
        <w:spacing w:beforeLines="50" w:before="120"/>
        <w:ind w:leftChars="0"/>
      </w:pPr>
      <w:bookmarkStart w:id="3" w:name="_Hlk134719307"/>
      <w:r w:rsidRPr="009D59C5">
        <w:rPr>
          <w:rFonts w:ascii="Times New Roman" w:hAnsi="Times New Roman"/>
          <w:sz w:val="21"/>
          <w:szCs w:val="21"/>
        </w:rPr>
        <w:t xml:space="preserve">If the MN </w:t>
      </w:r>
      <w:r w:rsidR="00B140A7" w:rsidRPr="009D59C5">
        <w:rPr>
          <w:rFonts w:ascii="Times New Roman" w:hAnsi="Times New Roman"/>
          <w:sz w:val="21"/>
          <w:szCs w:val="21"/>
        </w:rPr>
        <w:t xml:space="preserve">knows that the SN support the TDM solution for IDC </w:t>
      </w:r>
      <w:r w:rsidR="00B33CAA" w:rsidRPr="009D59C5">
        <w:rPr>
          <w:rFonts w:ascii="Times New Roman" w:hAnsi="Times New Roman"/>
          <w:sz w:val="21"/>
          <w:szCs w:val="21"/>
        </w:rPr>
        <w:t xml:space="preserve">and </w:t>
      </w:r>
      <w:r w:rsidRPr="009D59C5">
        <w:rPr>
          <w:rFonts w:ascii="Times New Roman" w:hAnsi="Times New Roman"/>
          <w:sz w:val="21"/>
          <w:szCs w:val="21"/>
        </w:rPr>
        <w:t>decides to ask the SN to address the IDC</w:t>
      </w:r>
      <w:r w:rsidRPr="004E2AEA">
        <w:rPr>
          <w:rFonts w:ascii="Times New Roman" w:hAnsi="Times New Roman"/>
          <w:sz w:val="21"/>
          <w:szCs w:val="21"/>
        </w:rPr>
        <w:t xml:space="preserve"> problem caused by the MR-DC frequency combination</w:t>
      </w:r>
      <w:bookmarkEnd w:id="3"/>
      <w:r w:rsidRPr="004E2AEA">
        <w:rPr>
          <w:rFonts w:ascii="Times New Roman" w:hAnsi="Times New Roman"/>
          <w:sz w:val="21"/>
          <w:szCs w:val="21"/>
        </w:rPr>
        <w:t xml:space="preserve">, then MN forwards affected frequency combination List </w:t>
      </w:r>
      <w:r>
        <w:rPr>
          <w:rFonts w:ascii="Times New Roman" w:hAnsi="Times New Roman"/>
          <w:sz w:val="21"/>
          <w:szCs w:val="21"/>
        </w:rPr>
        <w:t xml:space="preserve">as well as the TDM assistance information </w:t>
      </w:r>
      <w:r w:rsidRPr="004E2AEA">
        <w:rPr>
          <w:rFonts w:ascii="Times New Roman" w:hAnsi="Times New Roman"/>
          <w:sz w:val="21"/>
          <w:szCs w:val="21"/>
        </w:rPr>
        <w:t>to SN</w:t>
      </w:r>
      <w:r>
        <w:rPr>
          <w:rFonts w:ascii="Times New Roman" w:hAnsi="Times New Roman"/>
          <w:sz w:val="21"/>
          <w:szCs w:val="21"/>
        </w:rPr>
        <w:t xml:space="preserve">. Then it is up to SN to decide whether to address the IDC issue for the UE by </w:t>
      </w:r>
      <w:r w:rsidR="0005601D">
        <w:rPr>
          <w:rFonts w:ascii="Times New Roman" w:hAnsi="Times New Roman"/>
          <w:sz w:val="21"/>
          <w:szCs w:val="21"/>
        </w:rPr>
        <w:t xml:space="preserve">using </w:t>
      </w:r>
      <w:r>
        <w:rPr>
          <w:rFonts w:ascii="Times New Roman" w:hAnsi="Times New Roman"/>
          <w:sz w:val="21"/>
          <w:szCs w:val="21"/>
        </w:rPr>
        <w:t xml:space="preserve">FDM solution </w:t>
      </w:r>
      <w:r w:rsidRPr="00F50A38">
        <w:rPr>
          <w:rFonts w:ascii="Times New Roman" w:hAnsi="Times New Roman"/>
          <w:sz w:val="21"/>
          <w:szCs w:val="21"/>
        </w:rPr>
        <w:t>(e.g.by switching BWP)</w:t>
      </w:r>
      <w:r>
        <w:rPr>
          <w:rFonts w:ascii="Times New Roman" w:hAnsi="Times New Roman"/>
          <w:sz w:val="21"/>
          <w:szCs w:val="21"/>
        </w:rPr>
        <w:t xml:space="preserve"> or</w:t>
      </w:r>
      <w:r w:rsidR="0005601D">
        <w:rPr>
          <w:rFonts w:ascii="Times New Roman" w:hAnsi="Times New Roman"/>
          <w:sz w:val="21"/>
          <w:szCs w:val="21"/>
        </w:rPr>
        <w:t xml:space="preserve"> by using</w:t>
      </w:r>
      <w:r>
        <w:rPr>
          <w:rFonts w:ascii="Times New Roman" w:hAnsi="Times New Roman"/>
          <w:sz w:val="21"/>
          <w:szCs w:val="21"/>
        </w:rPr>
        <w:t xml:space="preserve"> TDM solution (i.e. configure proper DRX for the UE)</w:t>
      </w:r>
      <w:r w:rsidR="00930CDC">
        <w:rPr>
          <w:rFonts w:ascii="Times New Roman" w:hAnsi="Times New Roman"/>
          <w:sz w:val="21"/>
          <w:szCs w:val="21"/>
        </w:rPr>
        <w:t>.</w:t>
      </w:r>
    </w:p>
    <w:p w14:paraId="6F044A28" w14:textId="77777777" w:rsidR="0072447C" w:rsidRDefault="0072447C" w:rsidP="0072447C">
      <w:r>
        <w:rPr>
          <w:rFonts w:hint="eastAsia"/>
        </w:rPr>
        <w:t>B</w:t>
      </w:r>
      <w:r>
        <w:t>ased on the above discussion, we propose that:</w:t>
      </w:r>
    </w:p>
    <w:p w14:paraId="1E475B1A" w14:textId="77777777" w:rsidR="00B140A7" w:rsidRDefault="0072447C" w:rsidP="0072447C">
      <w:pPr>
        <w:spacing w:beforeLines="50" w:before="120"/>
        <w:rPr>
          <w:b/>
          <w:szCs w:val="21"/>
        </w:rPr>
      </w:pPr>
      <w:r w:rsidRPr="0072447C">
        <w:rPr>
          <w:b/>
          <w:szCs w:val="21"/>
        </w:rPr>
        <w:t xml:space="preserve">Proposal </w:t>
      </w:r>
      <w:r>
        <w:rPr>
          <w:b/>
          <w:szCs w:val="21"/>
        </w:rPr>
        <w:t>2</w:t>
      </w:r>
      <w:r w:rsidRPr="0072447C">
        <w:rPr>
          <w:b/>
          <w:szCs w:val="21"/>
        </w:rPr>
        <w:t xml:space="preserve">: For the case of IDC issue caused by NR-DC frequency range combination, </w:t>
      </w:r>
    </w:p>
    <w:p w14:paraId="15826DF2" w14:textId="1AA09697" w:rsidR="00B140A7" w:rsidRPr="00373170" w:rsidRDefault="00B140A7" w:rsidP="00B140A7">
      <w:pPr>
        <w:pStyle w:val="ListParagraph"/>
        <w:numPr>
          <w:ilvl w:val="0"/>
          <w:numId w:val="33"/>
        </w:numPr>
        <w:spacing w:beforeLines="50" w:before="120"/>
        <w:ind w:leftChars="0"/>
        <w:rPr>
          <w:rFonts w:ascii="Times New Roman" w:eastAsiaTheme="minorEastAsia" w:hAnsi="Times New Roman" w:cstheme="minorBidi"/>
          <w:b/>
          <w:kern w:val="2"/>
          <w:sz w:val="21"/>
          <w:szCs w:val="21"/>
          <w:lang w:val="en-US"/>
        </w:rPr>
      </w:pPr>
      <w:r w:rsidRPr="00373170">
        <w:rPr>
          <w:rFonts w:ascii="Times New Roman" w:eastAsiaTheme="minorEastAsia" w:hAnsi="Times New Roman" w:cstheme="minorBidi"/>
          <w:b/>
          <w:kern w:val="2"/>
          <w:sz w:val="21"/>
          <w:szCs w:val="21"/>
          <w:lang w:val="en-US"/>
        </w:rPr>
        <w:t xml:space="preserve">If the SN </w:t>
      </w:r>
      <w:r w:rsidR="0005601D">
        <w:rPr>
          <w:rFonts w:ascii="Times New Roman" w:eastAsiaTheme="minorEastAsia" w:hAnsi="Times New Roman" w:cstheme="minorBidi"/>
          <w:b/>
          <w:kern w:val="2"/>
          <w:sz w:val="21"/>
          <w:szCs w:val="21"/>
          <w:lang w:val="en-US"/>
        </w:rPr>
        <w:t xml:space="preserve">enables </w:t>
      </w:r>
      <w:r w:rsidRPr="00373170">
        <w:rPr>
          <w:rFonts w:ascii="Times New Roman" w:eastAsiaTheme="minorEastAsia" w:hAnsi="Times New Roman" w:cstheme="minorBidi"/>
          <w:b/>
          <w:kern w:val="2"/>
          <w:sz w:val="21"/>
          <w:szCs w:val="21"/>
          <w:lang w:val="en-US"/>
        </w:rPr>
        <w:t>TDM solution</w:t>
      </w:r>
      <w:r w:rsidR="0005601D">
        <w:rPr>
          <w:rFonts w:ascii="Times New Roman" w:eastAsiaTheme="minorEastAsia" w:hAnsi="Times New Roman" w:cstheme="minorBidi"/>
          <w:b/>
          <w:kern w:val="2"/>
          <w:sz w:val="21"/>
          <w:szCs w:val="21"/>
          <w:lang w:val="en-US"/>
        </w:rPr>
        <w:t xml:space="preserve"> for the UE</w:t>
      </w:r>
      <w:r w:rsidRPr="00373170">
        <w:rPr>
          <w:rFonts w:ascii="Times New Roman" w:eastAsiaTheme="minorEastAsia" w:hAnsi="Times New Roman" w:cstheme="minorBidi"/>
          <w:b/>
          <w:kern w:val="2"/>
          <w:sz w:val="21"/>
          <w:szCs w:val="21"/>
          <w:lang w:val="en-US"/>
        </w:rPr>
        <w:t>, it indicate</w:t>
      </w:r>
      <w:r w:rsidR="00373170">
        <w:rPr>
          <w:rFonts w:ascii="Times New Roman" w:eastAsiaTheme="minorEastAsia" w:hAnsi="Times New Roman" w:cstheme="minorBidi"/>
          <w:b/>
          <w:kern w:val="2"/>
          <w:sz w:val="21"/>
          <w:szCs w:val="21"/>
          <w:lang w:val="en-US"/>
        </w:rPr>
        <w:t>s</w:t>
      </w:r>
      <w:r w:rsidRPr="00373170">
        <w:rPr>
          <w:rFonts w:ascii="Times New Roman" w:eastAsiaTheme="minorEastAsia" w:hAnsi="Times New Roman" w:cstheme="minorBidi"/>
          <w:b/>
          <w:kern w:val="2"/>
          <w:sz w:val="21"/>
          <w:szCs w:val="21"/>
          <w:lang w:val="en-US"/>
        </w:rPr>
        <w:t xml:space="preserve"> it to the MN</w:t>
      </w:r>
      <w:r w:rsidR="00373170">
        <w:rPr>
          <w:rFonts w:ascii="Times New Roman" w:eastAsiaTheme="minorEastAsia" w:hAnsi="Times New Roman" w:cstheme="minorBidi"/>
          <w:b/>
          <w:kern w:val="2"/>
          <w:sz w:val="21"/>
          <w:szCs w:val="21"/>
          <w:lang w:val="en-US"/>
        </w:rPr>
        <w:t xml:space="preserve"> via the CG-Config</w:t>
      </w:r>
      <w:r w:rsidRPr="00373170">
        <w:rPr>
          <w:rFonts w:ascii="Times New Roman" w:eastAsiaTheme="minorEastAsia" w:hAnsi="Times New Roman" w:cstheme="minorBidi"/>
          <w:b/>
          <w:kern w:val="2"/>
          <w:sz w:val="21"/>
          <w:szCs w:val="21"/>
          <w:lang w:val="en-US"/>
        </w:rPr>
        <w:t>;</w:t>
      </w:r>
    </w:p>
    <w:p w14:paraId="5568BBCF" w14:textId="77777777" w:rsidR="00373170" w:rsidRPr="00373170" w:rsidRDefault="00B140A7" w:rsidP="00B140A7">
      <w:pPr>
        <w:pStyle w:val="ListParagraph"/>
        <w:numPr>
          <w:ilvl w:val="0"/>
          <w:numId w:val="33"/>
        </w:numPr>
        <w:spacing w:beforeLines="50" w:before="120"/>
        <w:ind w:leftChars="0"/>
        <w:rPr>
          <w:rFonts w:ascii="Times New Roman" w:eastAsiaTheme="minorEastAsia" w:hAnsi="Times New Roman" w:cstheme="minorBidi"/>
          <w:b/>
          <w:kern w:val="2"/>
          <w:sz w:val="21"/>
          <w:szCs w:val="21"/>
          <w:lang w:val="en-US"/>
        </w:rPr>
      </w:pPr>
      <w:r w:rsidRPr="00373170">
        <w:rPr>
          <w:rFonts w:ascii="Times New Roman" w:eastAsiaTheme="minorEastAsia" w:hAnsi="Times New Roman" w:cstheme="minorBidi"/>
          <w:b/>
          <w:kern w:val="2"/>
          <w:sz w:val="21"/>
          <w:szCs w:val="21"/>
          <w:lang w:val="en-US"/>
        </w:rPr>
        <w:t>T</w:t>
      </w:r>
      <w:r w:rsidR="0072447C" w:rsidRPr="00373170">
        <w:rPr>
          <w:rFonts w:ascii="Times New Roman" w:eastAsiaTheme="minorEastAsia" w:hAnsi="Times New Roman" w:cstheme="minorBidi"/>
          <w:b/>
          <w:kern w:val="2"/>
          <w:sz w:val="21"/>
          <w:szCs w:val="21"/>
          <w:lang w:val="en-US"/>
        </w:rPr>
        <w:t xml:space="preserve">he UE only reports the TDM assistance information to the </w:t>
      </w:r>
      <w:r w:rsidR="00373170" w:rsidRPr="00373170">
        <w:rPr>
          <w:rFonts w:ascii="Times New Roman" w:eastAsiaTheme="minorEastAsia" w:hAnsi="Times New Roman" w:cstheme="minorBidi"/>
          <w:b/>
          <w:kern w:val="2"/>
          <w:sz w:val="21"/>
          <w:szCs w:val="21"/>
          <w:lang w:val="en-US"/>
        </w:rPr>
        <w:t>MN;</w:t>
      </w:r>
    </w:p>
    <w:p w14:paraId="74655895" w14:textId="608283C5" w:rsidR="0072447C" w:rsidRDefault="00373170" w:rsidP="00B140A7">
      <w:pPr>
        <w:pStyle w:val="ListParagraph"/>
        <w:numPr>
          <w:ilvl w:val="0"/>
          <w:numId w:val="33"/>
        </w:numPr>
        <w:spacing w:beforeLines="50" w:before="120"/>
        <w:ind w:leftChars="0"/>
      </w:pPr>
      <w:r w:rsidRPr="00373170">
        <w:rPr>
          <w:rFonts w:ascii="Times New Roman" w:eastAsiaTheme="minorEastAsia" w:hAnsi="Times New Roman" w:cstheme="minorBidi"/>
          <w:b/>
          <w:kern w:val="2"/>
          <w:sz w:val="21"/>
          <w:szCs w:val="21"/>
          <w:lang w:val="en-US"/>
        </w:rPr>
        <w:t>T</w:t>
      </w:r>
      <w:r w:rsidR="0072447C" w:rsidRPr="00373170">
        <w:rPr>
          <w:rFonts w:ascii="Times New Roman" w:eastAsiaTheme="minorEastAsia" w:hAnsi="Times New Roman" w:cstheme="minorBidi"/>
          <w:b/>
          <w:kern w:val="2"/>
          <w:sz w:val="21"/>
          <w:szCs w:val="21"/>
          <w:lang w:val="en-US"/>
        </w:rPr>
        <w:t>he MN can forward the IDC TDM assistance information reported by the UE to the SN via the CG-</w:t>
      </w:r>
      <w:proofErr w:type="spellStart"/>
      <w:r w:rsidR="0072447C" w:rsidRPr="00373170">
        <w:rPr>
          <w:rFonts w:ascii="Times New Roman" w:eastAsiaTheme="minorEastAsia" w:hAnsi="Times New Roman" w:cstheme="minorBidi"/>
          <w:b/>
          <w:kern w:val="2"/>
          <w:sz w:val="21"/>
          <w:szCs w:val="21"/>
          <w:lang w:val="en-US"/>
        </w:rPr>
        <w:t>ConfigInfo</w:t>
      </w:r>
      <w:proofErr w:type="spellEnd"/>
      <w:r w:rsidR="00B140A7" w:rsidRPr="00373170">
        <w:rPr>
          <w:rFonts w:ascii="Times New Roman" w:eastAsiaTheme="minorEastAsia" w:hAnsi="Times New Roman" w:cstheme="minorBidi"/>
          <w:b/>
          <w:kern w:val="2"/>
          <w:sz w:val="21"/>
          <w:szCs w:val="21"/>
          <w:lang w:val="en-US"/>
        </w:rPr>
        <w:t>.</w:t>
      </w:r>
    </w:p>
    <w:p w14:paraId="3BCDF7B5" w14:textId="6B9861B4" w:rsidR="0072447C" w:rsidRDefault="00373170" w:rsidP="00373170">
      <w:pPr>
        <w:pStyle w:val="Heading2"/>
        <w:spacing w:before="240"/>
      </w:pPr>
      <w:r w:rsidRPr="00373170">
        <w:rPr>
          <w:rFonts w:hint="eastAsia"/>
        </w:rPr>
        <w:t>2</w:t>
      </w:r>
      <w:r w:rsidRPr="00373170">
        <w:t xml:space="preserve">.3 Common </w:t>
      </w:r>
      <w:proofErr w:type="spellStart"/>
      <w:r w:rsidRPr="00373170">
        <w:t>signaling</w:t>
      </w:r>
      <w:proofErr w:type="spellEnd"/>
      <w:r w:rsidRPr="00373170">
        <w:t xml:space="preserve"> flow for FDM and TDM for NR DC</w:t>
      </w:r>
    </w:p>
    <w:p w14:paraId="0791AD62" w14:textId="50A97902" w:rsidR="00930CDC" w:rsidRDefault="00745C6F" w:rsidP="00AA1393">
      <w:pPr>
        <w:spacing w:beforeLines="50" w:before="120"/>
      </w:pPr>
      <w:r>
        <w:t xml:space="preserve">From the discussion in section 2.1 and 2.2, we </w:t>
      </w:r>
      <w:r w:rsidR="00B33CAA">
        <w:t xml:space="preserve"> can </w:t>
      </w:r>
      <w:r w:rsidR="00D20113">
        <w:t>observe</w:t>
      </w:r>
      <w:r>
        <w:t xml:space="preserve"> that </w:t>
      </w:r>
      <w:r w:rsidR="00D20113">
        <w:t xml:space="preserve">there are commonalities between the two procedures </w:t>
      </w:r>
      <w:r>
        <w:t xml:space="preserve">a common signaling flow can be applied to the FDM and TDM to address the IMD issue caused by NR-DC. </w:t>
      </w:r>
      <w:r w:rsidR="00930CDC">
        <w:t>The overall signaling flow is shown in Figure 1.</w:t>
      </w:r>
    </w:p>
    <w:p w14:paraId="2F537A13" w14:textId="3BA219BA" w:rsidR="00AA1393" w:rsidRDefault="00AA1393" w:rsidP="00AA1393">
      <w:pPr>
        <w:spacing w:beforeLines="50" w:before="120"/>
      </w:pPr>
      <w:r>
        <w:rPr>
          <w:noProof/>
        </w:rPr>
        <w:drawing>
          <wp:inline distT="0" distB="0" distL="0" distR="0" wp14:anchorId="56CE6822" wp14:editId="43396D8B">
            <wp:extent cx="5628121" cy="427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2228" cy="4276669"/>
                    </a:xfrm>
                    <a:prstGeom prst="rect">
                      <a:avLst/>
                    </a:prstGeom>
                    <a:noFill/>
                  </pic:spPr>
                </pic:pic>
              </a:graphicData>
            </a:graphic>
          </wp:inline>
        </w:drawing>
      </w:r>
    </w:p>
    <w:p w14:paraId="018817A6" w14:textId="18C5CA9F" w:rsidR="00930CDC" w:rsidRDefault="00930CDC" w:rsidP="00745C6F">
      <w:pPr>
        <w:pStyle w:val="ListParagraph"/>
        <w:spacing w:beforeLines="50" w:before="120"/>
        <w:ind w:leftChars="0" w:left="420" w:firstLine="0"/>
        <w:jc w:val="center"/>
      </w:pPr>
      <w:r>
        <w:t>Figure 1</w:t>
      </w:r>
      <w:r w:rsidR="0005601D">
        <w:t xml:space="preserve"> Common </w:t>
      </w:r>
      <w:proofErr w:type="spellStart"/>
      <w:r w:rsidR="0005601D">
        <w:t>signaling</w:t>
      </w:r>
      <w:proofErr w:type="spellEnd"/>
      <w:r w:rsidR="0005601D">
        <w:t xml:space="preserve"> flow for inter node co-ordination to address the IMD issue for </w:t>
      </w:r>
      <w:r w:rsidR="00265A8B">
        <w:t>N</w:t>
      </w:r>
      <w:r w:rsidR="0005601D">
        <w:t>R-DC</w:t>
      </w:r>
    </w:p>
    <w:p w14:paraId="1A682872" w14:textId="77777777" w:rsidR="00D20113" w:rsidRDefault="00D20113" w:rsidP="0005601D">
      <w:pPr>
        <w:spacing w:beforeLines="50" w:before="120"/>
        <w:rPr>
          <w:rFonts w:cs="Times New Roman"/>
          <w:szCs w:val="21"/>
        </w:rPr>
      </w:pPr>
    </w:p>
    <w:p w14:paraId="5A284AB0" w14:textId="77777777" w:rsidR="00D20113" w:rsidRDefault="00D20113" w:rsidP="0005601D">
      <w:pPr>
        <w:spacing w:beforeLines="50" w:before="120"/>
        <w:rPr>
          <w:rFonts w:cs="Times New Roman"/>
          <w:szCs w:val="21"/>
        </w:rPr>
      </w:pPr>
    </w:p>
    <w:p w14:paraId="439DDE58" w14:textId="28E451F1" w:rsidR="0005601D" w:rsidRPr="00025196" w:rsidRDefault="0005601D" w:rsidP="0005601D">
      <w:pPr>
        <w:spacing w:beforeLines="50" w:before="120"/>
        <w:rPr>
          <w:rFonts w:cs="Times New Roman"/>
          <w:szCs w:val="21"/>
        </w:rPr>
      </w:pPr>
      <w:r w:rsidRPr="00025196">
        <w:rPr>
          <w:rFonts w:cs="Times New Roman"/>
          <w:szCs w:val="21"/>
        </w:rPr>
        <w:lastRenderedPageBreak/>
        <w:t xml:space="preserve">The key steps </w:t>
      </w:r>
      <w:r w:rsidR="00124273">
        <w:rPr>
          <w:rFonts w:cs="Times New Roman"/>
          <w:szCs w:val="21"/>
        </w:rPr>
        <w:t>for</w:t>
      </w:r>
      <w:r w:rsidRPr="00025196">
        <w:rPr>
          <w:rFonts w:cs="Times New Roman"/>
          <w:szCs w:val="21"/>
        </w:rPr>
        <w:t xml:space="preserve"> </w:t>
      </w:r>
      <w:r w:rsidR="00124273">
        <w:rPr>
          <w:rFonts w:cs="Times New Roman"/>
          <w:szCs w:val="21"/>
        </w:rPr>
        <w:t xml:space="preserve">common signaling flow for both FDM and TDM </w:t>
      </w:r>
      <w:r w:rsidRPr="00025196">
        <w:rPr>
          <w:rFonts w:cs="Times New Roman"/>
          <w:szCs w:val="21"/>
        </w:rPr>
        <w:t xml:space="preserve">between MN and SN </w:t>
      </w:r>
      <w:r w:rsidR="00124273">
        <w:rPr>
          <w:rFonts w:cs="Times New Roman"/>
          <w:szCs w:val="21"/>
        </w:rPr>
        <w:t>are</w:t>
      </w:r>
      <w:r w:rsidRPr="00025196">
        <w:rPr>
          <w:rFonts w:cs="Times New Roman"/>
          <w:szCs w:val="21"/>
        </w:rPr>
        <w:t xml:space="preserve"> listed below</w:t>
      </w:r>
    </w:p>
    <w:p w14:paraId="1A67AE9D" w14:textId="742837B5" w:rsidR="0005601D" w:rsidRPr="00025196" w:rsidRDefault="0005601D" w:rsidP="0005601D">
      <w:pPr>
        <w:pStyle w:val="ListParagraph"/>
        <w:numPr>
          <w:ilvl w:val="0"/>
          <w:numId w:val="23"/>
        </w:numPr>
        <w:spacing w:beforeLines="50" w:before="120"/>
        <w:ind w:leftChars="0"/>
        <w:rPr>
          <w:rFonts w:ascii="Times New Roman" w:hAnsi="Times New Roman"/>
          <w:sz w:val="21"/>
          <w:szCs w:val="21"/>
        </w:rPr>
      </w:pPr>
      <w:r w:rsidRPr="00025196">
        <w:rPr>
          <w:rFonts w:ascii="Times New Roman" w:hAnsi="Times New Roman"/>
          <w:sz w:val="21"/>
          <w:szCs w:val="21"/>
        </w:rPr>
        <w:t xml:space="preserve">When the SN configures the UE with the information of Candidate SN Serving Frequency Range List </w:t>
      </w:r>
      <w:r>
        <w:rPr>
          <w:rFonts w:ascii="Times New Roman" w:hAnsi="Times New Roman"/>
          <w:sz w:val="21"/>
          <w:szCs w:val="21"/>
        </w:rPr>
        <w:t>and enables the TDM reporting for the UE</w:t>
      </w:r>
      <w:r w:rsidRPr="00025196">
        <w:rPr>
          <w:rFonts w:ascii="Times New Roman" w:hAnsi="Times New Roman"/>
          <w:sz w:val="21"/>
          <w:szCs w:val="21"/>
        </w:rPr>
        <w:t>, SN also send the information of Candidate SN Serving Frequency Range List</w:t>
      </w:r>
      <w:r>
        <w:rPr>
          <w:rFonts w:ascii="Times New Roman" w:hAnsi="Times New Roman"/>
          <w:sz w:val="21"/>
          <w:szCs w:val="21"/>
        </w:rPr>
        <w:t xml:space="preserve"> and the indication that TDM reporting is enabled</w:t>
      </w:r>
      <w:r w:rsidRPr="00025196">
        <w:rPr>
          <w:rFonts w:ascii="Times New Roman" w:hAnsi="Times New Roman"/>
          <w:sz w:val="21"/>
          <w:szCs w:val="21"/>
        </w:rPr>
        <w:t xml:space="preserve"> </w:t>
      </w:r>
      <w:r w:rsidR="0055176A">
        <w:rPr>
          <w:rFonts w:ascii="Times New Roman" w:hAnsi="Times New Roman"/>
          <w:sz w:val="21"/>
          <w:szCs w:val="21"/>
        </w:rPr>
        <w:t xml:space="preserve">for UE </w:t>
      </w:r>
      <w:r w:rsidRPr="00025196">
        <w:rPr>
          <w:rFonts w:ascii="Times New Roman" w:hAnsi="Times New Roman"/>
          <w:sz w:val="21"/>
          <w:szCs w:val="21"/>
        </w:rPr>
        <w:t>to MN</w:t>
      </w:r>
      <w:r w:rsidR="00532766">
        <w:rPr>
          <w:rFonts w:ascii="Times New Roman" w:hAnsi="Times New Roman"/>
          <w:sz w:val="21"/>
          <w:szCs w:val="21"/>
        </w:rPr>
        <w:t>.</w:t>
      </w:r>
    </w:p>
    <w:p w14:paraId="16A26BF1" w14:textId="7D04BD7B" w:rsidR="0005601D" w:rsidRPr="00025196" w:rsidRDefault="0005601D" w:rsidP="0005601D">
      <w:pPr>
        <w:pStyle w:val="ListParagraph"/>
        <w:numPr>
          <w:ilvl w:val="0"/>
          <w:numId w:val="23"/>
        </w:numPr>
        <w:spacing w:beforeLines="50" w:before="120"/>
        <w:ind w:leftChars="0"/>
        <w:rPr>
          <w:rFonts w:ascii="Times New Roman" w:hAnsi="Times New Roman"/>
          <w:sz w:val="21"/>
          <w:szCs w:val="21"/>
        </w:rPr>
      </w:pPr>
      <w:r w:rsidRPr="00025196">
        <w:rPr>
          <w:rFonts w:ascii="Times New Roman" w:hAnsi="Times New Roman"/>
          <w:sz w:val="21"/>
          <w:szCs w:val="21"/>
          <w:lang w:val="en-US"/>
        </w:rPr>
        <w:t>If the UE detects IDC problem is due to combination of the frequencies configured by MN and SN, UE reports the affected frequency combination to the MN</w:t>
      </w:r>
      <w:r>
        <w:rPr>
          <w:rFonts w:ascii="Times New Roman" w:hAnsi="Times New Roman"/>
          <w:sz w:val="21"/>
          <w:szCs w:val="21"/>
          <w:lang w:val="en-US"/>
        </w:rPr>
        <w:t xml:space="preserve"> along with the</w:t>
      </w:r>
      <w:r w:rsidR="00124273">
        <w:rPr>
          <w:rFonts w:ascii="Times New Roman" w:hAnsi="Times New Roman"/>
          <w:sz w:val="21"/>
          <w:szCs w:val="21"/>
          <w:lang w:val="en-US"/>
        </w:rPr>
        <w:t xml:space="preserve"> TDM Assistance Information</w:t>
      </w:r>
      <w:r w:rsidR="00D20113">
        <w:rPr>
          <w:rFonts w:ascii="Times New Roman" w:hAnsi="Times New Roman"/>
          <w:sz w:val="21"/>
          <w:szCs w:val="21"/>
          <w:lang w:val="en-US"/>
        </w:rPr>
        <w:t xml:space="preserve"> (when TDM reporting is also enabled)</w:t>
      </w:r>
      <w:r>
        <w:rPr>
          <w:rFonts w:ascii="Times New Roman" w:hAnsi="Times New Roman"/>
          <w:sz w:val="21"/>
          <w:szCs w:val="21"/>
          <w:lang w:val="en-US"/>
        </w:rPr>
        <w:t xml:space="preserve"> </w:t>
      </w:r>
    </w:p>
    <w:p w14:paraId="7013CB26" w14:textId="4B92CE4B" w:rsidR="0005601D" w:rsidRPr="00025196" w:rsidRDefault="0005601D" w:rsidP="0005601D">
      <w:pPr>
        <w:pStyle w:val="ListParagraph"/>
        <w:numPr>
          <w:ilvl w:val="0"/>
          <w:numId w:val="23"/>
        </w:numPr>
        <w:spacing w:beforeLines="50" w:before="120"/>
        <w:ind w:leftChars="0"/>
        <w:rPr>
          <w:rFonts w:ascii="Times New Roman" w:hAnsi="Times New Roman"/>
          <w:sz w:val="21"/>
          <w:szCs w:val="21"/>
        </w:rPr>
      </w:pPr>
      <w:r>
        <w:rPr>
          <w:rFonts w:ascii="Times New Roman" w:hAnsi="Times New Roman"/>
          <w:sz w:val="21"/>
          <w:szCs w:val="21"/>
          <w:lang w:val="en-US"/>
        </w:rPr>
        <w:t xml:space="preserve">If the </w:t>
      </w:r>
      <w:r w:rsidRPr="00025196">
        <w:rPr>
          <w:rFonts w:ascii="Times New Roman" w:hAnsi="Times New Roman"/>
          <w:sz w:val="21"/>
          <w:szCs w:val="21"/>
          <w:lang w:val="en-US"/>
        </w:rPr>
        <w:t>MN decide to address the IDC problem by itself</w:t>
      </w:r>
      <w:r>
        <w:rPr>
          <w:rFonts w:ascii="Times New Roman" w:hAnsi="Times New Roman"/>
          <w:sz w:val="21"/>
          <w:szCs w:val="21"/>
          <w:lang w:val="en-US"/>
        </w:rPr>
        <w:t xml:space="preserve"> </w:t>
      </w:r>
      <w:r w:rsidR="00124273">
        <w:rPr>
          <w:rFonts w:ascii="Times New Roman" w:hAnsi="Times New Roman"/>
          <w:sz w:val="21"/>
          <w:szCs w:val="21"/>
          <w:lang w:val="en-US"/>
        </w:rPr>
        <w:t>by applying FDM solution (</w:t>
      </w:r>
      <w:r>
        <w:rPr>
          <w:rFonts w:ascii="Times New Roman" w:hAnsi="Times New Roman"/>
          <w:sz w:val="21"/>
          <w:szCs w:val="21"/>
          <w:lang w:val="en-US"/>
        </w:rPr>
        <w:t xml:space="preserve">e.g. </w:t>
      </w:r>
      <w:r w:rsidRPr="00025196">
        <w:rPr>
          <w:rFonts w:ascii="Times New Roman" w:hAnsi="Times New Roman"/>
          <w:sz w:val="21"/>
          <w:szCs w:val="21"/>
          <w:lang w:val="en-US"/>
        </w:rPr>
        <w:t xml:space="preserve">by deactivating a </w:t>
      </w:r>
      <w:proofErr w:type="spellStart"/>
      <w:r w:rsidRPr="00025196">
        <w:rPr>
          <w:rFonts w:ascii="Times New Roman" w:hAnsi="Times New Roman"/>
          <w:sz w:val="21"/>
          <w:szCs w:val="21"/>
          <w:lang w:val="en-US"/>
        </w:rPr>
        <w:t>SCell</w:t>
      </w:r>
      <w:proofErr w:type="spellEnd"/>
      <w:r>
        <w:rPr>
          <w:rFonts w:ascii="Times New Roman" w:hAnsi="Times New Roman"/>
          <w:sz w:val="21"/>
          <w:szCs w:val="21"/>
          <w:lang w:val="en-US"/>
        </w:rPr>
        <w:t xml:space="preserve"> or by switching the BWP</w:t>
      </w:r>
      <w:r w:rsidR="00124273">
        <w:rPr>
          <w:rFonts w:ascii="Times New Roman" w:hAnsi="Times New Roman"/>
          <w:sz w:val="21"/>
          <w:szCs w:val="21"/>
          <w:lang w:val="en-US"/>
        </w:rPr>
        <w:t xml:space="preserve">) or by applying TDM Solution (i.e. configuring appropriate DRX for the UE) </w:t>
      </w:r>
      <w:r>
        <w:rPr>
          <w:rFonts w:ascii="Times New Roman" w:hAnsi="Times New Roman"/>
          <w:sz w:val="21"/>
          <w:szCs w:val="21"/>
          <w:lang w:val="en-US"/>
        </w:rPr>
        <w:t>, it d</w:t>
      </w:r>
      <w:r w:rsidRPr="00025196">
        <w:rPr>
          <w:rFonts w:ascii="Times New Roman" w:hAnsi="Times New Roman"/>
          <w:sz w:val="21"/>
          <w:szCs w:val="21"/>
          <w:lang w:val="en-US"/>
        </w:rPr>
        <w:t>oes not forward any info to SN</w:t>
      </w:r>
    </w:p>
    <w:p w14:paraId="1D951DD7" w14:textId="77777777" w:rsidR="008A7E6D" w:rsidRDefault="0005601D" w:rsidP="008A7E6D">
      <w:pPr>
        <w:pStyle w:val="ListParagraph"/>
        <w:numPr>
          <w:ilvl w:val="0"/>
          <w:numId w:val="23"/>
        </w:numPr>
        <w:spacing w:beforeLines="50" w:before="120"/>
        <w:ind w:leftChars="0"/>
      </w:pPr>
      <w:r w:rsidRPr="00025196">
        <w:rPr>
          <w:rFonts w:ascii="Times New Roman" w:hAnsi="Times New Roman"/>
          <w:sz w:val="21"/>
          <w:szCs w:val="21"/>
          <w:lang w:val="en-US"/>
        </w:rPr>
        <w:t>If the MN decide to ask the SN to address the IDC problem caused by the MR-DC frequency combination</w:t>
      </w:r>
      <w:r>
        <w:rPr>
          <w:rFonts w:ascii="Times New Roman" w:hAnsi="Times New Roman"/>
          <w:sz w:val="21"/>
          <w:szCs w:val="21"/>
          <w:lang w:val="en-US"/>
        </w:rPr>
        <w:t xml:space="preserve"> </w:t>
      </w:r>
      <w:r w:rsidRPr="00025196">
        <w:rPr>
          <w:rFonts w:ascii="Times New Roman" w:hAnsi="Times New Roman"/>
          <w:sz w:val="21"/>
          <w:szCs w:val="21"/>
          <w:lang w:val="en-US"/>
        </w:rPr>
        <w:t>then MN forwards affected frequency combination List to SN</w:t>
      </w:r>
      <w:r>
        <w:rPr>
          <w:rFonts w:ascii="Times New Roman" w:hAnsi="Times New Roman"/>
          <w:sz w:val="21"/>
          <w:szCs w:val="21"/>
          <w:lang w:val="en-US"/>
        </w:rPr>
        <w:t xml:space="preserve"> </w:t>
      </w:r>
      <w:r w:rsidR="00124273">
        <w:rPr>
          <w:rFonts w:ascii="Times New Roman" w:hAnsi="Times New Roman"/>
          <w:sz w:val="21"/>
          <w:szCs w:val="21"/>
          <w:lang w:val="en-US"/>
        </w:rPr>
        <w:t xml:space="preserve">and the TDM Assistance information received from the UE </w:t>
      </w:r>
      <w:r>
        <w:rPr>
          <w:rFonts w:ascii="Times New Roman" w:hAnsi="Times New Roman"/>
          <w:sz w:val="21"/>
          <w:szCs w:val="21"/>
          <w:lang w:val="en-US"/>
        </w:rPr>
        <w:t xml:space="preserve">for </w:t>
      </w:r>
      <w:r w:rsidR="00124273">
        <w:rPr>
          <w:rFonts w:ascii="Times New Roman" w:hAnsi="Times New Roman"/>
          <w:sz w:val="21"/>
          <w:szCs w:val="21"/>
          <w:lang w:val="en-US"/>
        </w:rPr>
        <w:t>SN. SN may apply FDM or TDM solution to resolve the IDC problem.</w:t>
      </w:r>
    </w:p>
    <w:p w14:paraId="3BEF15D2" w14:textId="5EAFE946" w:rsidR="008A7E6D" w:rsidRPr="008A7E6D" w:rsidRDefault="008A7E6D" w:rsidP="008A7E6D">
      <w:pPr>
        <w:pStyle w:val="ListParagraph"/>
        <w:spacing w:beforeLines="50" w:before="120"/>
        <w:ind w:leftChars="0" w:left="0" w:firstLine="0"/>
      </w:pPr>
      <w:r>
        <w:t>Hence we propose the following.</w:t>
      </w:r>
    </w:p>
    <w:p w14:paraId="308B2351" w14:textId="149B3D2F" w:rsidR="00124273" w:rsidRDefault="00124273" w:rsidP="00265A8B">
      <w:pPr>
        <w:pStyle w:val="ListParagraph"/>
        <w:spacing w:beforeLines="50" w:before="120"/>
        <w:ind w:leftChars="0" w:left="0" w:firstLine="0"/>
        <w:rPr>
          <w:b/>
          <w:szCs w:val="21"/>
        </w:rPr>
      </w:pPr>
      <w:r w:rsidRPr="00124273">
        <w:rPr>
          <w:b/>
          <w:szCs w:val="21"/>
        </w:rPr>
        <w:t xml:space="preserve">Proposal </w:t>
      </w:r>
      <w:r w:rsidR="00265A8B">
        <w:rPr>
          <w:b/>
          <w:szCs w:val="21"/>
        </w:rPr>
        <w:t>3</w:t>
      </w:r>
      <w:r w:rsidRPr="00124273">
        <w:rPr>
          <w:b/>
          <w:szCs w:val="21"/>
        </w:rPr>
        <w:t>: For the case of IDC issue caused by NR-DC frequency range combination</w:t>
      </w:r>
      <w:r w:rsidR="00265A8B">
        <w:rPr>
          <w:b/>
          <w:szCs w:val="21"/>
        </w:rPr>
        <w:t xml:space="preserve"> common/generalised signalling flow for enhanced FDM and TDM solution is adopted </w:t>
      </w:r>
      <w:r w:rsidR="00265A8B" w:rsidRPr="00265A8B">
        <w:rPr>
          <w:b/>
          <w:szCs w:val="21"/>
        </w:rPr>
        <w:t>to address the IMD issue</w:t>
      </w:r>
      <w:r w:rsidR="00265A8B">
        <w:rPr>
          <w:b/>
          <w:szCs w:val="21"/>
        </w:rPr>
        <w:t xml:space="preserve"> in R1</w:t>
      </w:r>
      <w:r w:rsidR="00EA0546">
        <w:rPr>
          <w:b/>
          <w:szCs w:val="21"/>
        </w:rPr>
        <w:t>8 which is characterised as follows</w:t>
      </w:r>
    </w:p>
    <w:p w14:paraId="2C16AC01" w14:textId="77777777" w:rsidR="00265A8B" w:rsidRPr="00265A8B" w:rsidRDefault="00265A8B" w:rsidP="00265A8B">
      <w:pPr>
        <w:numPr>
          <w:ilvl w:val="0"/>
          <w:numId w:val="34"/>
        </w:numPr>
        <w:spacing w:beforeLines="50" w:before="120"/>
        <w:rPr>
          <w:b/>
          <w:lang w:val="en-GB"/>
        </w:rPr>
      </w:pPr>
      <w:r w:rsidRPr="00265A8B">
        <w:rPr>
          <w:b/>
          <w:lang w:val="en-GB"/>
        </w:rPr>
        <w:t>When the SN configures the UE with the information of Candidate SN Serving Frequency Range List and enables the TDM reporting for the UE, SN also send the information of Candidate SN Serving Frequency Range List and the indication that TDM reporting is enabled for UE to MN.</w:t>
      </w:r>
    </w:p>
    <w:p w14:paraId="7CD17E5F" w14:textId="340724B4" w:rsidR="00265A8B" w:rsidRPr="00265A8B" w:rsidRDefault="00265A8B" w:rsidP="00265A8B">
      <w:pPr>
        <w:numPr>
          <w:ilvl w:val="0"/>
          <w:numId w:val="34"/>
        </w:numPr>
        <w:spacing w:beforeLines="50" w:before="120"/>
        <w:rPr>
          <w:b/>
          <w:lang w:val="en-GB"/>
        </w:rPr>
      </w:pPr>
      <w:r w:rsidRPr="00265A8B">
        <w:rPr>
          <w:b/>
        </w:rPr>
        <w:t>If the UE detects IDC problem is due to combination of the frequencies configured by MN and SN, UE reports the affected frequency combination to the MN along with the TDM Assistance Information</w:t>
      </w:r>
      <w:r w:rsidR="00D20113">
        <w:rPr>
          <w:b/>
        </w:rPr>
        <w:t xml:space="preserve"> </w:t>
      </w:r>
      <w:r w:rsidR="00D20113" w:rsidRPr="00D20113">
        <w:rPr>
          <w:b/>
        </w:rPr>
        <w:t>(when TDM reporting is also enabled)</w:t>
      </w:r>
      <w:r w:rsidRPr="00265A8B">
        <w:rPr>
          <w:b/>
        </w:rPr>
        <w:t xml:space="preserve"> </w:t>
      </w:r>
    </w:p>
    <w:p w14:paraId="0BEA04D1" w14:textId="77777777" w:rsidR="00265A8B" w:rsidRPr="00265A8B" w:rsidRDefault="00265A8B" w:rsidP="00265A8B">
      <w:pPr>
        <w:numPr>
          <w:ilvl w:val="0"/>
          <w:numId w:val="34"/>
        </w:numPr>
        <w:spacing w:beforeLines="50" w:before="120"/>
        <w:rPr>
          <w:b/>
          <w:lang w:val="en-GB"/>
        </w:rPr>
      </w:pPr>
      <w:r w:rsidRPr="00265A8B">
        <w:rPr>
          <w:b/>
        </w:rPr>
        <w:t xml:space="preserve">If the MN decide to address the IDC problem by itself by applying FDM solution (e.g. by deactivating a </w:t>
      </w:r>
      <w:proofErr w:type="spellStart"/>
      <w:r w:rsidRPr="00265A8B">
        <w:rPr>
          <w:b/>
        </w:rPr>
        <w:t>SCell</w:t>
      </w:r>
      <w:proofErr w:type="spellEnd"/>
      <w:r w:rsidRPr="00265A8B">
        <w:rPr>
          <w:b/>
        </w:rPr>
        <w:t xml:space="preserve"> or by switching the BWP) or by applying TDM Solution (i.e. configuring appropriate DRX for the UE) , it does not forward any info to SN</w:t>
      </w:r>
    </w:p>
    <w:p w14:paraId="2BC7749C" w14:textId="77777777" w:rsidR="00265A8B" w:rsidRPr="00265A8B" w:rsidRDefault="00265A8B" w:rsidP="00265A8B">
      <w:pPr>
        <w:numPr>
          <w:ilvl w:val="0"/>
          <w:numId w:val="34"/>
        </w:numPr>
        <w:spacing w:beforeLines="50" w:before="120"/>
        <w:rPr>
          <w:b/>
          <w:lang w:val="en-GB"/>
        </w:rPr>
      </w:pPr>
      <w:r w:rsidRPr="00265A8B">
        <w:rPr>
          <w:b/>
        </w:rPr>
        <w:t>If the MN decide to ask the SN to address the IDC problem caused by the MR-DC frequency combination then MN forwards affected frequency combination List to SN and the TDM Assistance information received from the UE for SN. SN may apply FDM or TDM solution to resolve the IDC problem.</w:t>
      </w:r>
    </w:p>
    <w:p w14:paraId="1F35AC2A" w14:textId="0A2F3D46" w:rsidR="00265A8B" w:rsidRPr="00265A8B" w:rsidRDefault="00265A8B" w:rsidP="00265A8B">
      <w:pPr>
        <w:spacing w:beforeLines="50" w:before="120"/>
        <w:rPr>
          <w:b/>
        </w:rPr>
      </w:pPr>
    </w:p>
    <w:p w14:paraId="3B0A7311" w14:textId="7334119F" w:rsidR="00502F1A" w:rsidRDefault="006E40D7" w:rsidP="004526E2">
      <w:pPr>
        <w:pStyle w:val="Heading1"/>
        <w:numPr>
          <w:ilvl w:val="0"/>
          <w:numId w:val="10"/>
        </w:numPr>
        <w:rPr>
          <w:lang w:eastAsia="zh-CN"/>
        </w:rPr>
      </w:pPr>
      <w:r>
        <w:rPr>
          <w:lang w:eastAsia="zh-CN"/>
        </w:rPr>
        <w:t>Conclusions</w:t>
      </w:r>
    </w:p>
    <w:p w14:paraId="394BC568" w14:textId="64E00A92" w:rsidR="003A2CC5" w:rsidRDefault="00F425AA" w:rsidP="00502F1A">
      <w:r>
        <w:t xml:space="preserve">One big remaining issue in IDC WI is the inter-node coordination for both FDM solution and TDM solution. In this paper, we further analyze the inter-node coordination issue for various scenarios and then propose the specification impacts for FDM and TDM solutions separately. We then propose the common signaling flow combining the FDM and TDM Solution </w:t>
      </w:r>
      <w:proofErr w:type="spellStart"/>
      <w:r>
        <w:t>signalling</w:t>
      </w:r>
      <w:proofErr w:type="spellEnd"/>
      <w:r>
        <w:t xml:space="preserve"> for addressing the IMD issue</w:t>
      </w:r>
      <w:r w:rsidRPr="00F425AA">
        <w:t xml:space="preserve"> </w:t>
      </w:r>
      <w:r>
        <w:t>for NR-DC</w:t>
      </w:r>
      <w:r w:rsidR="00EA0546">
        <w:t>.</w:t>
      </w:r>
    </w:p>
    <w:p w14:paraId="402B0168" w14:textId="77777777" w:rsidR="00EA0546" w:rsidRDefault="00EA0546" w:rsidP="00502F1A"/>
    <w:p w14:paraId="21DD3FE8" w14:textId="273E2DA8" w:rsidR="003A2CC5" w:rsidRDefault="00F425AA" w:rsidP="003A2CC5">
      <w:pPr>
        <w:rPr>
          <w:b/>
          <w:u w:val="single"/>
          <w:lang w:val="en-GB"/>
        </w:rPr>
      </w:pPr>
      <w:r w:rsidRPr="00F425AA">
        <w:rPr>
          <w:b/>
          <w:u w:val="single"/>
          <w:lang w:val="en-GB"/>
        </w:rPr>
        <w:t>Inter-node coordination for FDM solution enhancements</w:t>
      </w:r>
    </w:p>
    <w:p w14:paraId="1679D312" w14:textId="1DAC206D" w:rsidR="003A2CC5" w:rsidRDefault="003A2CC5" w:rsidP="00502F1A"/>
    <w:p w14:paraId="003B32DC" w14:textId="77777777" w:rsidR="00F425AA" w:rsidRPr="00F8740E" w:rsidRDefault="00F425AA" w:rsidP="00F425AA">
      <w:pPr>
        <w:spacing w:beforeLines="50" w:before="120" w:line="300" w:lineRule="auto"/>
        <w:rPr>
          <w:rFonts w:cs="Times New Roman"/>
          <w:b/>
          <w:szCs w:val="21"/>
        </w:rPr>
      </w:pPr>
      <w:r w:rsidRPr="00F8740E">
        <w:rPr>
          <w:rFonts w:cs="Times New Roman"/>
          <w:b/>
          <w:szCs w:val="21"/>
        </w:rPr>
        <w:t xml:space="preserve">Proposal 1: For the case of IDC issue caused by NR-DC frequency range combination, the same procedure as for EN-DC is supported, specifically: </w:t>
      </w:r>
    </w:p>
    <w:p w14:paraId="7A1AE415" w14:textId="77777777" w:rsidR="00F425AA" w:rsidRPr="00F8740E" w:rsidRDefault="00F425AA" w:rsidP="00F425AA">
      <w:pPr>
        <w:pStyle w:val="ListParagraph"/>
        <w:numPr>
          <w:ilvl w:val="0"/>
          <w:numId w:val="35"/>
        </w:numPr>
        <w:spacing w:beforeLines="50" w:before="120" w:after="0" w:afterAutospacing="0" w:line="240" w:lineRule="auto"/>
        <w:ind w:leftChars="0"/>
        <w:rPr>
          <w:rFonts w:ascii="Times New Roman" w:hAnsi="Times New Roman"/>
          <w:b/>
          <w:sz w:val="21"/>
          <w:szCs w:val="21"/>
        </w:rPr>
      </w:pPr>
      <w:r w:rsidRPr="00F8740E">
        <w:rPr>
          <w:rFonts w:ascii="Times New Roman" w:hAnsi="Times New Roman"/>
          <w:b/>
          <w:sz w:val="21"/>
          <w:szCs w:val="21"/>
        </w:rPr>
        <w:t xml:space="preserve">To add the </w:t>
      </w:r>
      <w:proofErr w:type="spellStart"/>
      <w:r w:rsidRPr="00F8740E">
        <w:rPr>
          <w:rFonts w:ascii="Times New Roman" w:hAnsi="Times New Roman"/>
          <w:b/>
          <w:sz w:val="21"/>
          <w:szCs w:val="21"/>
        </w:rPr>
        <w:t>candidateServingFreqRangeListNR</w:t>
      </w:r>
      <w:proofErr w:type="spellEnd"/>
      <w:r w:rsidRPr="00F8740E">
        <w:rPr>
          <w:rFonts w:ascii="Times New Roman" w:hAnsi="Times New Roman"/>
          <w:b/>
          <w:sz w:val="21"/>
          <w:szCs w:val="21"/>
        </w:rPr>
        <w:t xml:space="preserve"> in the CG-Config</w:t>
      </w:r>
    </w:p>
    <w:p w14:paraId="74ACE261" w14:textId="77777777" w:rsidR="00F425AA" w:rsidRPr="00F8740E" w:rsidRDefault="00F425AA" w:rsidP="00F425AA">
      <w:pPr>
        <w:pStyle w:val="ListParagraph"/>
        <w:numPr>
          <w:ilvl w:val="0"/>
          <w:numId w:val="35"/>
        </w:numPr>
        <w:spacing w:beforeLines="50" w:before="120" w:after="0" w:afterAutospacing="0" w:line="240" w:lineRule="auto"/>
        <w:ind w:leftChars="0"/>
        <w:rPr>
          <w:rFonts w:ascii="Times New Roman" w:hAnsi="Times New Roman"/>
          <w:b/>
          <w:sz w:val="21"/>
          <w:szCs w:val="21"/>
        </w:rPr>
      </w:pPr>
      <w:r w:rsidRPr="00F8740E">
        <w:rPr>
          <w:rFonts w:ascii="Times New Roman" w:hAnsi="Times New Roman"/>
          <w:b/>
          <w:sz w:val="21"/>
          <w:szCs w:val="21"/>
        </w:rPr>
        <w:t xml:space="preserve">To add the </w:t>
      </w:r>
      <w:proofErr w:type="spellStart"/>
      <w:r w:rsidRPr="00F8740E">
        <w:rPr>
          <w:rFonts w:ascii="Times New Roman" w:hAnsi="Times New Roman"/>
          <w:b/>
          <w:sz w:val="21"/>
          <w:szCs w:val="21"/>
        </w:rPr>
        <w:t>affectedCarrierFreqRang</w:t>
      </w:r>
      <w:r>
        <w:rPr>
          <w:rFonts w:ascii="Times New Roman" w:hAnsi="Times New Roman"/>
          <w:b/>
          <w:sz w:val="21"/>
          <w:szCs w:val="21"/>
        </w:rPr>
        <w:t>e</w:t>
      </w:r>
      <w:r w:rsidRPr="00F8740E">
        <w:rPr>
          <w:rFonts w:ascii="Times New Roman" w:hAnsi="Times New Roman"/>
          <w:b/>
          <w:sz w:val="21"/>
          <w:szCs w:val="21"/>
        </w:rPr>
        <w:t>CombInfoListMRDC</w:t>
      </w:r>
      <w:proofErr w:type="spellEnd"/>
      <w:r w:rsidRPr="00F8740E">
        <w:rPr>
          <w:rFonts w:ascii="Times New Roman" w:hAnsi="Times New Roman"/>
          <w:b/>
          <w:sz w:val="21"/>
          <w:szCs w:val="21"/>
        </w:rPr>
        <w:t xml:space="preserve"> in the MRDC-</w:t>
      </w:r>
      <w:proofErr w:type="spellStart"/>
      <w:r w:rsidRPr="00F8740E">
        <w:rPr>
          <w:rFonts w:ascii="Times New Roman" w:hAnsi="Times New Roman"/>
          <w:b/>
          <w:sz w:val="21"/>
          <w:szCs w:val="21"/>
        </w:rPr>
        <w:t>AssistanceInfo</w:t>
      </w:r>
      <w:proofErr w:type="spellEnd"/>
      <w:r w:rsidRPr="00F8740E">
        <w:rPr>
          <w:rFonts w:ascii="Times New Roman" w:hAnsi="Times New Roman"/>
          <w:b/>
          <w:sz w:val="21"/>
          <w:szCs w:val="21"/>
        </w:rPr>
        <w:t xml:space="preserve"> of CG-</w:t>
      </w:r>
      <w:proofErr w:type="spellStart"/>
      <w:r w:rsidRPr="00F8740E">
        <w:rPr>
          <w:rFonts w:ascii="Times New Roman" w:hAnsi="Times New Roman"/>
          <w:b/>
          <w:sz w:val="21"/>
          <w:szCs w:val="21"/>
        </w:rPr>
        <w:t>ConfigInfo</w:t>
      </w:r>
      <w:proofErr w:type="spellEnd"/>
    </w:p>
    <w:p w14:paraId="277588EB" w14:textId="77777777" w:rsidR="00F425AA" w:rsidRPr="00F8740E" w:rsidRDefault="00F425AA" w:rsidP="00F425AA">
      <w:pPr>
        <w:pStyle w:val="ListParagraph"/>
        <w:numPr>
          <w:ilvl w:val="0"/>
          <w:numId w:val="35"/>
        </w:numPr>
        <w:spacing w:beforeLines="50" w:before="120" w:after="0" w:afterAutospacing="0" w:line="240" w:lineRule="auto"/>
        <w:ind w:leftChars="0"/>
        <w:rPr>
          <w:b/>
        </w:rPr>
      </w:pPr>
      <w:r w:rsidRPr="00F8740E">
        <w:rPr>
          <w:rFonts w:ascii="Times New Roman" w:hAnsi="Times New Roman"/>
          <w:b/>
          <w:sz w:val="21"/>
          <w:szCs w:val="21"/>
        </w:rPr>
        <w:lastRenderedPageBreak/>
        <w:t>For the UE reporting procedure, if the UE detect the IDC issue on MR-DC frequency range combination, the UE reports the affected frequency range combination to the MN.</w:t>
      </w:r>
    </w:p>
    <w:p w14:paraId="6F64C88A" w14:textId="75FED4B4" w:rsidR="003A2CC5" w:rsidRDefault="003A2CC5" w:rsidP="00502F1A"/>
    <w:p w14:paraId="4C32EAB6" w14:textId="0589A69B" w:rsidR="003A2CC5" w:rsidRDefault="003A2CC5" w:rsidP="00502F1A"/>
    <w:p w14:paraId="1FBF576B" w14:textId="176A5C47" w:rsidR="006777FA" w:rsidRDefault="00F425AA" w:rsidP="006777FA">
      <w:pPr>
        <w:rPr>
          <w:b/>
          <w:u w:val="single"/>
          <w:lang w:val="en-GB"/>
        </w:rPr>
      </w:pPr>
      <w:bookmarkStart w:id="4" w:name="_GoBack"/>
      <w:bookmarkEnd w:id="4"/>
      <w:r w:rsidRPr="00F425AA">
        <w:rPr>
          <w:b/>
          <w:u w:val="single"/>
          <w:lang w:val="en-GB"/>
        </w:rPr>
        <w:t>Inter-node coordination for TDM solution</w:t>
      </w:r>
    </w:p>
    <w:p w14:paraId="0539E8FA" w14:textId="19AB632A" w:rsidR="006777FA" w:rsidRDefault="006777FA" w:rsidP="006777FA">
      <w:pPr>
        <w:rPr>
          <w:b/>
          <w:u w:val="single"/>
          <w:lang w:val="en-GB"/>
        </w:rPr>
      </w:pPr>
    </w:p>
    <w:p w14:paraId="142A27B5" w14:textId="77777777" w:rsidR="00F425AA" w:rsidRDefault="00F425AA" w:rsidP="00F425AA">
      <w:pPr>
        <w:spacing w:beforeLines="50" w:before="120"/>
        <w:rPr>
          <w:b/>
          <w:szCs w:val="21"/>
        </w:rPr>
      </w:pPr>
      <w:r w:rsidRPr="0072447C">
        <w:rPr>
          <w:b/>
          <w:szCs w:val="21"/>
        </w:rPr>
        <w:t xml:space="preserve">Proposal </w:t>
      </w:r>
      <w:r>
        <w:rPr>
          <w:b/>
          <w:szCs w:val="21"/>
        </w:rPr>
        <w:t>2</w:t>
      </w:r>
      <w:r w:rsidRPr="0072447C">
        <w:rPr>
          <w:b/>
          <w:szCs w:val="21"/>
        </w:rPr>
        <w:t xml:space="preserve">: For the case of IDC issue caused by NR-DC frequency range combination, </w:t>
      </w:r>
    </w:p>
    <w:p w14:paraId="3042002E" w14:textId="1592E0D9" w:rsidR="00F425AA" w:rsidRPr="00373170" w:rsidRDefault="00F425AA" w:rsidP="00F425AA">
      <w:pPr>
        <w:pStyle w:val="ListParagraph"/>
        <w:numPr>
          <w:ilvl w:val="0"/>
          <w:numId w:val="33"/>
        </w:numPr>
        <w:spacing w:beforeLines="50" w:before="120"/>
        <w:ind w:leftChars="0"/>
        <w:rPr>
          <w:rFonts w:ascii="Times New Roman" w:eastAsiaTheme="minorEastAsia" w:hAnsi="Times New Roman" w:cstheme="minorBidi"/>
          <w:b/>
          <w:kern w:val="2"/>
          <w:sz w:val="21"/>
          <w:szCs w:val="21"/>
          <w:lang w:val="en-US"/>
        </w:rPr>
      </w:pPr>
      <w:r w:rsidRPr="00373170">
        <w:rPr>
          <w:rFonts w:ascii="Times New Roman" w:eastAsiaTheme="minorEastAsia" w:hAnsi="Times New Roman" w:cstheme="minorBidi"/>
          <w:b/>
          <w:kern w:val="2"/>
          <w:sz w:val="21"/>
          <w:szCs w:val="21"/>
          <w:lang w:val="en-US"/>
        </w:rPr>
        <w:t xml:space="preserve">If the SN </w:t>
      </w:r>
      <w:r>
        <w:rPr>
          <w:rFonts w:ascii="Times New Roman" w:eastAsiaTheme="minorEastAsia" w:hAnsi="Times New Roman" w:cstheme="minorBidi"/>
          <w:b/>
          <w:kern w:val="2"/>
          <w:sz w:val="21"/>
          <w:szCs w:val="21"/>
          <w:lang w:val="en-US"/>
        </w:rPr>
        <w:t xml:space="preserve">enables </w:t>
      </w:r>
      <w:r w:rsidRPr="00373170">
        <w:rPr>
          <w:rFonts w:ascii="Times New Roman" w:eastAsiaTheme="minorEastAsia" w:hAnsi="Times New Roman" w:cstheme="minorBidi"/>
          <w:b/>
          <w:kern w:val="2"/>
          <w:sz w:val="21"/>
          <w:szCs w:val="21"/>
          <w:lang w:val="en-US"/>
        </w:rPr>
        <w:t>TDM solution</w:t>
      </w:r>
      <w:r>
        <w:rPr>
          <w:rFonts w:ascii="Times New Roman" w:eastAsiaTheme="minorEastAsia" w:hAnsi="Times New Roman" w:cstheme="minorBidi"/>
          <w:b/>
          <w:kern w:val="2"/>
          <w:sz w:val="21"/>
          <w:szCs w:val="21"/>
          <w:lang w:val="en-US"/>
        </w:rPr>
        <w:t xml:space="preserve"> for the UE</w:t>
      </w:r>
      <w:r w:rsidRPr="00373170">
        <w:rPr>
          <w:rFonts w:ascii="Times New Roman" w:eastAsiaTheme="minorEastAsia" w:hAnsi="Times New Roman" w:cstheme="minorBidi"/>
          <w:b/>
          <w:kern w:val="2"/>
          <w:sz w:val="21"/>
          <w:szCs w:val="21"/>
          <w:lang w:val="en-US"/>
        </w:rPr>
        <w:t>, it indicate</w:t>
      </w:r>
      <w:r>
        <w:rPr>
          <w:rFonts w:ascii="Times New Roman" w:eastAsiaTheme="minorEastAsia" w:hAnsi="Times New Roman" w:cstheme="minorBidi"/>
          <w:b/>
          <w:kern w:val="2"/>
          <w:sz w:val="21"/>
          <w:szCs w:val="21"/>
          <w:lang w:val="en-US"/>
        </w:rPr>
        <w:t>s</w:t>
      </w:r>
      <w:r w:rsidRPr="00373170">
        <w:rPr>
          <w:rFonts w:ascii="Times New Roman" w:eastAsiaTheme="minorEastAsia" w:hAnsi="Times New Roman" w:cstheme="minorBidi"/>
          <w:b/>
          <w:kern w:val="2"/>
          <w:sz w:val="21"/>
          <w:szCs w:val="21"/>
          <w:lang w:val="en-US"/>
        </w:rPr>
        <w:t xml:space="preserve"> it to the MN</w:t>
      </w:r>
      <w:r>
        <w:rPr>
          <w:rFonts w:ascii="Times New Roman" w:eastAsiaTheme="minorEastAsia" w:hAnsi="Times New Roman" w:cstheme="minorBidi"/>
          <w:b/>
          <w:kern w:val="2"/>
          <w:sz w:val="21"/>
          <w:szCs w:val="21"/>
          <w:lang w:val="en-US"/>
        </w:rPr>
        <w:t xml:space="preserve"> via the CG-Config</w:t>
      </w:r>
      <w:r w:rsidRPr="00373170">
        <w:rPr>
          <w:rFonts w:ascii="Times New Roman" w:eastAsiaTheme="minorEastAsia" w:hAnsi="Times New Roman" w:cstheme="minorBidi"/>
          <w:b/>
          <w:kern w:val="2"/>
          <w:sz w:val="21"/>
          <w:szCs w:val="21"/>
          <w:lang w:val="en-US"/>
        </w:rPr>
        <w:t>;</w:t>
      </w:r>
    </w:p>
    <w:p w14:paraId="6F0DABBE" w14:textId="77777777" w:rsidR="00F425AA" w:rsidRPr="00373170" w:rsidRDefault="00F425AA" w:rsidP="00F425AA">
      <w:pPr>
        <w:pStyle w:val="ListParagraph"/>
        <w:numPr>
          <w:ilvl w:val="0"/>
          <w:numId w:val="33"/>
        </w:numPr>
        <w:spacing w:beforeLines="50" w:before="120"/>
        <w:ind w:leftChars="0"/>
        <w:rPr>
          <w:rFonts w:ascii="Times New Roman" w:eastAsiaTheme="minorEastAsia" w:hAnsi="Times New Roman" w:cstheme="minorBidi"/>
          <w:b/>
          <w:kern w:val="2"/>
          <w:sz w:val="21"/>
          <w:szCs w:val="21"/>
          <w:lang w:val="en-US"/>
        </w:rPr>
      </w:pPr>
      <w:r w:rsidRPr="00373170">
        <w:rPr>
          <w:rFonts w:ascii="Times New Roman" w:eastAsiaTheme="minorEastAsia" w:hAnsi="Times New Roman" w:cstheme="minorBidi"/>
          <w:b/>
          <w:kern w:val="2"/>
          <w:sz w:val="21"/>
          <w:szCs w:val="21"/>
          <w:lang w:val="en-US"/>
        </w:rPr>
        <w:t>The UE only reports the TDM assistance information to the MN;</w:t>
      </w:r>
    </w:p>
    <w:p w14:paraId="7A82795A" w14:textId="77777777" w:rsidR="00F425AA" w:rsidRDefault="00F425AA" w:rsidP="00F425AA">
      <w:pPr>
        <w:pStyle w:val="ListParagraph"/>
        <w:numPr>
          <w:ilvl w:val="0"/>
          <w:numId w:val="33"/>
        </w:numPr>
        <w:spacing w:beforeLines="50" w:before="120"/>
        <w:ind w:leftChars="0"/>
      </w:pPr>
      <w:r w:rsidRPr="00373170">
        <w:rPr>
          <w:rFonts w:ascii="Times New Roman" w:eastAsiaTheme="minorEastAsia" w:hAnsi="Times New Roman" w:cstheme="minorBidi"/>
          <w:b/>
          <w:kern w:val="2"/>
          <w:sz w:val="21"/>
          <w:szCs w:val="21"/>
          <w:lang w:val="en-US"/>
        </w:rPr>
        <w:t>The MN can forward the IDC TDM assistance information reported by the UE to the SN via the CG-</w:t>
      </w:r>
      <w:proofErr w:type="spellStart"/>
      <w:r w:rsidRPr="00373170">
        <w:rPr>
          <w:rFonts w:ascii="Times New Roman" w:eastAsiaTheme="minorEastAsia" w:hAnsi="Times New Roman" w:cstheme="minorBidi"/>
          <w:b/>
          <w:kern w:val="2"/>
          <w:sz w:val="21"/>
          <w:szCs w:val="21"/>
          <w:lang w:val="en-US"/>
        </w:rPr>
        <w:t>ConfigInfo</w:t>
      </w:r>
      <w:proofErr w:type="spellEnd"/>
      <w:r w:rsidRPr="00373170">
        <w:rPr>
          <w:rFonts w:ascii="Times New Roman" w:eastAsiaTheme="minorEastAsia" w:hAnsi="Times New Roman" w:cstheme="minorBidi"/>
          <w:b/>
          <w:kern w:val="2"/>
          <w:sz w:val="21"/>
          <w:szCs w:val="21"/>
          <w:lang w:val="en-US"/>
        </w:rPr>
        <w:t>.</w:t>
      </w:r>
    </w:p>
    <w:p w14:paraId="1F110937" w14:textId="77777777" w:rsidR="00C262D6" w:rsidRDefault="00C262D6" w:rsidP="006777FA">
      <w:pPr>
        <w:rPr>
          <w:b/>
          <w:u w:val="single"/>
          <w:lang w:val="en-GB"/>
        </w:rPr>
      </w:pPr>
    </w:p>
    <w:p w14:paraId="63B69C78" w14:textId="77777777" w:rsidR="006777FA" w:rsidRDefault="006777FA" w:rsidP="006777FA">
      <w:pPr>
        <w:rPr>
          <w:b/>
          <w:u w:val="single"/>
          <w:lang w:val="en-GB"/>
        </w:rPr>
      </w:pPr>
    </w:p>
    <w:p w14:paraId="2FA829AA" w14:textId="1879ADF0" w:rsidR="006777FA" w:rsidRDefault="00F425AA" w:rsidP="006777FA">
      <w:pPr>
        <w:rPr>
          <w:b/>
          <w:u w:val="single"/>
          <w:lang w:val="en-GB"/>
        </w:rPr>
      </w:pPr>
      <w:r w:rsidRPr="00F425AA">
        <w:rPr>
          <w:b/>
          <w:u w:val="single"/>
          <w:lang w:val="en-GB"/>
        </w:rPr>
        <w:t xml:space="preserve">Common </w:t>
      </w:r>
      <w:proofErr w:type="spellStart"/>
      <w:r w:rsidRPr="00F425AA">
        <w:rPr>
          <w:b/>
          <w:u w:val="single"/>
          <w:lang w:val="en-GB"/>
        </w:rPr>
        <w:t>signaling</w:t>
      </w:r>
      <w:proofErr w:type="spellEnd"/>
      <w:r w:rsidRPr="00F425AA">
        <w:rPr>
          <w:b/>
          <w:u w:val="single"/>
          <w:lang w:val="en-GB"/>
        </w:rPr>
        <w:t xml:space="preserve"> flow for FDM and TDM for NR DC</w:t>
      </w:r>
    </w:p>
    <w:p w14:paraId="0CC94095" w14:textId="56E10536" w:rsidR="006777FA" w:rsidRDefault="006777FA" w:rsidP="00502F1A"/>
    <w:p w14:paraId="151A9461" w14:textId="77777777" w:rsidR="00F425AA" w:rsidRDefault="00F425AA" w:rsidP="00F425AA">
      <w:pPr>
        <w:pStyle w:val="ListParagraph"/>
        <w:spacing w:beforeLines="50" w:before="120"/>
        <w:ind w:leftChars="0" w:left="0" w:firstLine="0"/>
        <w:rPr>
          <w:b/>
          <w:szCs w:val="21"/>
        </w:rPr>
      </w:pPr>
      <w:r w:rsidRPr="00124273">
        <w:rPr>
          <w:b/>
          <w:szCs w:val="21"/>
        </w:rPr>
        <w:t xml:space="preserve">Proposal </w:t>
      </w:r>
      <w:r>
        <w:rPr>
          <w:b/>
          <w:szCs w:val="21"/>
        </w:rPr>
        <w:t>3</w:t>
      </w:r>
      <w:r w:rsidRPr="00124273">
        <w:rPr>
          <w:b/>
          <w:szCs w:val="21"/>
        </w:rPr>
        <w:t>: For the case of IDC issue caused by NR-DC frequency range combination</w:t>
      </w:r>
      <w:r>
        <w:rPr>
          <w:b/>
          <w:szCs w:val="21"/>
        </w:rPr>
        <w:t xml:space="preserve"> common/generalised signalling flow for enhanced FDM and TDM solution is adopted </w:t>
      </w:r>
      <w:r w:rsidRPr="00265A8B">
        <w:rPr>
          <w:b/>
          <w:szCs w:val="21"/>
        </w:rPr>
        <w:t>to address the IMD issue</w:t>
      </w:r>
      <w:r>
        <w:rPr>
          <w:b/>
          <w:szCs w:val="21"/>
        </w:rPr>
        <w:t xml:space="preserve"> in R18 which is characterised as follows</w:t>
      </w:r>
    </w:p>
    <w:p w14:paraId="37BB12B3" w14:textId="77777777" w:rsidR="00F425AA" w:rsidRPr="00265A8B" w:rsidRDefault="00F425AA" w:rsidP="00F425AA">
      <w:pPr>
        <w:numPr>
          <w:ilvl w:val="0"/>
          <w:numId w:val="36"/>
        </w:numPr>
        <w:spacing w:beforeLines="50" w:before="120"/>
        <w:rPr>
          <w:b/>
          <w:lang w:val="en-GB"/>
        </w:rPr>
      </w:pPr>
      <w:r w:rsidRPr="00265A8B">
        <w:rPr>
          <w:b/>
          <w:lang w:val="en-GB"/>
        </w:rPr>
        <w:t>When the SN configures the UE with the information of Candidate SN Serving Frequency Range List and enables the TDM reporting for the UE, SN also send the information of Candidate SN Serving Frequency Range List and the indication that TDM reporting is enabled for UE to MN.</w:t>
      </w:r>
    </w:p>
    <w:p w14:paraId="1EC91F1E" w14:textId="2AEDBBB9" w:rsidR="00F425AA" w:rsidRPr="00265A8B" w:rsidRDefault="00F425AA" w:rsidP="00F425AA">
      <w:pPr>
        <w:numPr>
          <w:ilvl w:val="0"/>
          <w:numId w:val="36"/>
        </w:numPr>
        <w:spacing w:beforeLines="50" w:before="120"/>
        <w:rPr>
          <w:b/>
          <w:lang w:val="en-GB"/>
        </w:rPr>
      </w:pPr>
      <w:r w:rsidRPr="00265A8B">
        <w:rPr>
          <w:b/>
        </w:rPr>
        <w:t>If the UE detects IDC problem is due to combination of the frequencies configured by MN and SN, UE reports the affected frequency combination to the MN along with the TDM Assistance Information</w:t>
      </w:r>
      <w:r w:rsidR="00D20113">
        <w:rPr>
          <w:b/>
        </w:rPr>
        <w:t xml:space="preserve"> </w:t>
      </w:r>
      <w:r w:rsidR="00D20113" w:rsidRPr="00D20113">
        <w:rPr>
          <w:b/>
        </w:rPr>
        <w:t>(when TDM reporting is also enabled)</w:t>
      </w:r>
      <w:r w:rsidRPr="00265A8B">
        <w:rPr>
          <w:b/>
        </w:rPr>
        <w:t xml:space="preserve"> </w:t>
      </w:r>
    </w:p>
    <w:p w14:paraId="24BB7D52" w14:textId="77777777" w:rsidR="00F425AA" w:rsidRPr="00265A8B" w:rsidRDefault="00F425AA" w:rsidP="00F425AA">
      <w:pPr>
        <w:numPr>
          <w:ilvl w:val="0"/>
          <w:numId w:val="36"/>
        </w:numPr>
        <w:spacing w:beforeLines="50" w:before="120"/>
        <w:rPr>
          <w:b/>
          <w:lang w:val="en-GB"/>
        </w:rPr>
      </w:pPr>
      <w:r w:rsidRPr="00265A8B">
        <w:rPr>
          <w:b/>
        </w:rPr>
        <w:t xml:space="preserve">If the MN decide to address the IDC problem by itself by applying FDM solution (e.g. by deactivating a </w:t>
      </w:r>
      <w:proofErr w:type="spellStart"/>
      <w:r w:rsidRPr="00265A8B">
        <w:rPr>
          <w:b/>
        </w:rPr>
        <w:t>SCell</w:t>
      </w:r>
      <w:proofErr w:type="spellEnd"/>
      <w:r w:rsidRPr="00265A8B">
        <w:rPr>
          <w:b/>
        </w:rPr>
        <w:t xml:space="preserve"> or by switching the BWP) or by applying TDM Solution (i.e. configuring appropriate DRX for the UE) , it does not forward any info to SN</w:t>
      </w:r>
    </w:p>
    <w:p w14:paraId="47C367D7" w14:textId="77777777" w:rsidR="00F425AA" w:rsidRPr="00265A8B" w:rsidRDefault="00F425AA" w:rsidP="00F425AA">
      <w:pPr>
        <w:numPr>
          <w:ilvl w:val="0"/>
          <w:numId w:val="36"/>
        </w:numPr>
        <w:spacing w:beforeLines="50" w:before="120"/>
        <w:rPr>
          <w:b/>
          <w:lang w:val="en-GB"/>
        </w:rPr>
      </w:pPr>
      <w:r w:rsidRPr="00265A8B">
        <w:rPr>
          <w:b/>
        </w:rPr>
        <w:t>If the MN decide to ask the SN to address the IDC problem caused by the MR-DC frequency combination then MN forwards affected frequency combination List to SN and the TDM Assistance information received from the UE for SN. SN may apply FDM or TDM solution to resolve the IDC problem.</w:t>
      </w:r>
    </w:p>
    <w:p w14:paraId="2E736DA9" w14:textId="77777777" w:rsidR="00F425AA" w:rsidRPr="00265A8B" w:rsidRDefault="00F425AA" w:rsidP="00F425AA">
      <w:pPr>
        <w:spacing w:beforeLines="50" w:before="120"/>
        <w:rPr>
          <w:b/>
        </w:rPr>
      </w:pPr>
    </w:p>
    <w:p w14:paraId="79732FC2" w14:textId="77777777" w:rsidR="003C5A0F" w:rsidRDefault="003C5A0F" w:rsidP="004526E2">
      <w:pPr>
        <w:pStyle w:val="Heading1"/>
        <w:numPr>
          <w:ilvl w:val="0"/>
          <w:numId w:val="10"/>
        </w:numPr>
        <w:rPr>
          <w:lang w:eastAsia="zh-CN"/>
        </w:rPr>
      </w:pPr>
      <w:r>
        <w:rPr>
          <w:lang w:eastAsia="zh-CN"/>
        </w:rPr>
        <w:t>References</w:t>
      </w:r>
    </w:p>
    <w:p w14:paraId="6162D749" w14:textId="1064E8A6" w:rsidR="00635683" w:rsidRDefault="00B7032D" w:rsidP="00635683">
      <w:pPr>
        <w:pStyle w:val="References"/>
        <w:numPr>
          <w:ilvl w:val="0"/>
          <w:numId w:val="11"/>
        </w:numPr>
      </w:pPr>
      <w:r w:rsidRPr="00B7032D">
        <w:t xml:space="preserve">R2-2305580 </w:t>
      </w:r>
      <w:r w:rsidR="00635683" w:rsidRPr="004E561E">
        <w:t>[Post121][655][IDC] Discussion on Leftover issues for IDC</w:t>
      </w:r>
    </w:p>
    <w:p w14:paraId="79A6777F" w14:textId="5A013844" w:rsidR="004B29E4" w:rsidRPr="00E9719F" w:rsidRDefault="004B29E4" w:rsidP="00635683">
      <w:pPr>
        <w:pStyle w:val="References"/>
        <w:numPr>
          <w:ilvl w:val="0"/>
          <w:numId w:val="11"/>
        </w:numPr>
      </w:pPr>
      <w:r>
        <w:t>R2-2302980</w:t>
      </w:r>
      <w:r>
        <w:tab/>
        <w:t>38.331 Running CR for Rel-18 IDC UE capabilities</w:t>
      </w:r>
      <w:r>
        <w:tab/>
      </w:r>
      <w:r>
        <w:tab/>
      </w:r>
    </w:p>
    <w:p w14:paraId="532001D0" w14:textId="26B7693D" w:rsidR="0055689C" w:rsidRDefault="0055689C" w:rsidP="0026041E">
      <w:pPr>
        <w:pStyle w:val="References"/>
        <w:tabs>
          <w:tab w:val="clear" w:pos="360"/>
        </w:tabs>
        <w:ind w:left="420" w:firstLine="0"/>
      </w:pPr>
    </w:p>
    <w:sectPr w:rsidR="0055689C" w:rsidSect="00237DDF">
      <w:headerReference w:type="even" r:id="rId10"/>
      <w:footerReference w:type="default" r:id="rId11"/>
      <w:pgSz w:w="11906" w:h="16838"/>
      <w:pgMar w:top="1134" w:right="1133"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D0C5A" w14:textId="77777777" w:rsidR="00A35211" w:rsidRDefault="00A35211">
      <w:r>
        <w:separator/>
      </w:r>
    </w:p>
  </w:endnote>
  <w:endnote w:type="continuationSeparator" w:id="0">
    <w:p w14:paraId="0F89778C" w14:textId="77777777" w:rsidR="00A35211" w:rsidRDefault="00A3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SimHei">
    <w:altName w:val="Microsoft YaHei"/>
    <w:panose1 w:val="02010600030101010101"/>
    <w:charset w:val="86"/>
    <w:family w:val="auto"/>
    <w:pitch w:val="default"/>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B140A7" w:rsidRDefault="00B140A7">
    <w:pPr>
      <w:pStyle w:val="Footer"/>
      <w:jc w:val="right"/>
    </w:pPr>
    <w:r>
      <w:fldChar w:fldCharType="begin"/>
    </w:r>
    <w:r>
      <w:instrText xml:space="preserve"> PAGE   \* MERGEFORMAT </w:instrText>
    </w:r>
    <w:r>
      <w:fldChar w:fldCharType="separate"/>
    </w:r>
    <w:r w:rsidR="00AA1393">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6F64" w14:textId="77777777" w:rsidR="00A35211" w:rsidRDefault="00A35211">
      <w:r>
        <w:separator/>
      </w:r>
    </w:p>
  </w:footnote>
  <w:footnote w:type="continuationSeparator" w:id="0">
    <w:p w14:paraId="399A35BE" w14:textId="77777777" w:rsidR="00A35211" w:rsidRDefault="00A3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B140A7" w:rsidRDefault="00B140A7"/>
  <w:p w14:paraId="41EB02E3" w14:textId="77777777" w:rsidR="00B140A7" w:rsidRDefault="00B140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352"/>
    <w:multiLevelType w:val="hybridMultilevel"/>
    <w:tmpl w:val="0B68008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6217B2"/>
    <w:multiLevelType w:val="hybridMultilevel"/>
    <w:tmpl w:val="E7E60F46"/>
    <w:lvl w:ilvl="0" w:tplc="C8E23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A4E5B"/>
    <w:multiLevelType w:val="hybridMultilevel"/>
    <w:tmpl w:val="93D26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22431"/>
    <w:multiLevelType w:val="hybridMultilevel"/>
    <w:tmpl w:val="0B68008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B2213A"/>
    <w:multiLevelType w:val="hybridMultilevel"/>
    <w:tmpl w:val="6F265D78"/>
    <w:lvl w:ilvl="0" w:tplc="0CA0A752">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31A227E"/>
    <w:multiLevelType w:val="hybridMultilevel"/>
    <w:tmpl w:val="E8B64EBA"/>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4080F"/>
    <w:multiLevelType w:val="hybridMultilevel"/>
    <w:tmpl w:val="7FAA15AC"/>
    <w:lvl w:ilvl="0" w:tplc="972294B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B629B9"/>
    <w:multiLevelType w:val="hybridMultilevel"/>
    <w:tmpl w:val="CE96F1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0688C"/>
    <w:multiLevelType w:val="hybridMultilevel"/>
    <w:tmpl w:val="F710D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D13297"/>
    <w:multiLevelType w:val="hybridMultilevel"/>
    <w:tmpl w:val="0FD0D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1153CF"/>
    <w:multiLevelType w:val="hybridMultilevel"/>
    <w:tmpl w:val="6F265D78"/>
    <w:lvl w:ilvl="0" w:tplc="0CA0A752">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276432"/>
    <w:multiLevelType w:val="hybridMultilevel"/>
    <w:tmpl w:val="49107280"/>
    <w:lvl w:ilvl="0" w:tplc="59A0D19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75754D"/>
    <w:multiLevelType w:val="hybridMultilevel"/>
    <w:tmpl w:val="DD966B0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FAC2F5E"/>
    <w:multiLevelType w:val="hybridMultilevel"/>
    <w:tmpl w:val="BE7C2FB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33"/>
  </w:num>
  <w:num w:numId="4">
    <w:abstractNumId w:val="22"/>
  </w:num>
  <w:num w:numId="5">
    <w:abstractNumId w:val="29"/>
  </w:num>
  <w:num w:numId="6">
    <w:abstractNumId w:val="28"/>
  </w:num>
  <w:num w:numId="7">
    <w:abstractNumId w:val="11"/>
  </w:num>
  <w:num w:numId="8">
    <w:abstractNumId w:val="21"/>
  </w:num>
  <w:num w:numId="9">
    <w:abstractNumId w:val="16"/>
  </w:num>
  <w:num w:numId="10">
    <w:abstractNumId w:val="2"/>
  </w:num>
  <w:num w:numId="11">
    <w:abstractNumId w:val="18"/>
  </w:num>
  <w:num w:numId="12">
    <w:abstractNumId w:val="17"/>
  </w:num>
  <w:num w:numId="13">
    <w:abstractNumId w:val="7"/>
  </w:num>
  <w:num w:numId="14">
    <w:abstractNumId w:val="31"/>
  </w:num>
  <w:num w:numId="15">
    <w:abstractNumId w:val="30"/>
  </w:num>
  <w:num w:numId="16">
    <w:abstractNumId w:val="19"/>
  </w:num>
  <w:num w:numId="17">
    <w:abstractNumId w:val="14"/>
  </w:num>
  <w:num w:numId="18">
    <w:abstractNumId w:val="5"/>
  </w:num>
  <w:num w:numId="19">
    <w:abstractNumId w:val="8"/>
  </w:num>
  <w:num w:numId="20">
    <w:abstractNumId w:val="23"/>
  </w:num>
  <w:num w:numId="21">
    <w:abstractNumId w:val="26"/>
  </w:num>
  <w:num w:numId="22">
    <w:abstractNumId w:val="3"/>
  </w:num>
  <w:num w:numId="23">
    <w:abstractNumId w:val="25"/>
  </w:num>
  <w:num w:numId="24">
    <w:abstractNumId w:val="32"/>
  </w:num>
  <w:num w:numId="25">
    <w:abstractNumId w:val="20"/>
  </w:num>
  <w:num w:numId="26">
    <w:abstractNumId w:val="24"/>
  </w:num>
  <w:num w:numId="27">
    <w:abstractNumId w:val="34"/>
  </w:num>
  <w:num w:numId="28">
    <w:abstractNumId w:val="35"/>
  </w:num>
  <w:num w:numId="29">
    <w:abstractNumId w:val="1"/>
  </w:num>
  <w:num w:numId="30">
    <w:abstractNumId w:val="4"/>
  </w:num>
  <w:num w:numId="31">
    <w:abstractNumId w:val="12"/>
  </w:num>
  <w:num w:numId="32">
    <w:abstractNumId w:val="13"/>
  </w:num>
  <w:num w:numId="33">
    <w:abstractNumId w:val="15"/>
  </w:num>
  <w:num w:numId="34">
    <w:abstractNumId w:val="0"/>
  </w:num>
  <w:num w:numId="35">
    <w:abstractNumId w:val="27"/>
  </w:num>
  <w:num w:numId="3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B18"/>
    <w:rsid w:val="00012FA3"/>
    <w:rsid w:val="00013716"/>
    <w:rsid w:val="00013808"/>
    <w:rsid w:val="00013966"/>
    <w:rsid w:val="00013E9A"/>
    <w:rsid w:val="00014471"/>
    <w:rsid w:val="000153AA"/>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196"/>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4186"/>
    <w:rsid w:val="000342F0"/>
    <w:rsid w:val="000343F1"/>
    <w:rsid w:val="00034424"/>
    <w:rsid w:val="00034D6C"/>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01D"/>
    <w:rsid w:val="00056809"/>
    <w:rsid w:val="00057009"/>
    <w:rsid w:val="00057BC0"/>
    <w:rsid w:val="00057F08"/>
    <w:rsid w:val="00061DFF"/>
    <w:rsid w:val="0006261D"/>
    <w:rsid w:val="00062C9D"/>
    <w:rsid w:val="00064A6E"/>
    <w:rsid w:val="00064A7A"/>
    <w:rsid w:val="00064D9C"/>
    <w:rsid w:val="000650E9"/>
    <w:rsid w:val="000667D3"/>
    <w:rsid w:val="00067AD6"/>
    <w:rsid w:val="00067FD8"/>
    <w:rsid w:val="00070619"/>
    <w:rsid w:val="00072330"/>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856"/>
    <w:rsid w:val="000949E1"/>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A7772"/>
    <w:rsid w:val="000A7DAD"/>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C2BEA"/>
    <w:rsid w:val="000C3877"/>
    <w:rsid w:val="000C40B5"/>
    <w:rsid w:val="000C44BE"/>
    <w:rsid w:val="000C44DB"/>
    <w:rsid w:val="000C4FEC"/>
    <w:rsid w:val="000C52BE"/>
    <w:rsid w:val="000C682E"/>
    <w:rsid w:val="000C75C9"/>
    <w:rsid w:val="000C760D"/>
    <w:rsid w:val="000D25D8"/>
    <w:rsid w:val="000D2BA1"/>
    <w:rsid w:val="000D3469"/>
    <w:rsid w:val="000D3937"/>
    <w:rsid w:val="000D4025"/>
    <w:rsid w:val="000D4D35"/>
    <w:rsid w:val="000D5EC5"/>
    <w:rsid w:val="000D6934"/>
    <w:rsid w:val="000D6ED8"/>
    <w:rsid w:val="000E01C2"/>
    <w:rsid w:val="000E0794"/>
    <w:rsid w:val="000E080E"/>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0F7A22"/>
    <w:rsid w:val="001019D9"/>
    <w:rsid w:val="00102953"/>
    <w:rsid w:val="0010475C"/>
    <w:rsid w:val="00104B15"/>
    <w:rsid w:val="00105C70"/>
    <w:rsid w:val="001064F6"/>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273"/>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4EC7"/>
    <w:rsid w:val="001463A1"/>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5AC9"/>
    <w:rsid w:val="0015687E"/>
    <w:rsid w:val="00157D2F"/>
    <w:rsid w:val="00160044"/>
    <w:rsid w:val="001609FE"/>
    <w:rsid w:val="00160EDF"/>
    <w:rsid w:val="00162146"/>
    <w:rsid w:val="0016327B"/>
    <w:rsid w:val="001633E2"/>
    <w:rsid w:val="00164F70"/>
    <w:rsid w:val="00165B54"/>
    <w:rsid w:val="0016618C"/>
    <w:rsid w:val="001662C6"/>
    <w:rsid w:val="0016636B"/>
    <w:rsid w:val="00167E3A"/>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224F"/>
    <w:rsid w:val="0018308A"/>
    <w:rsid w:val="001837F3"/>
    <w:rsid w:val="00184029"/>
    <w:rsid w:val="00184B45"/>
    <w:rsid w:val="00185BC2"/>
    <w:rsid w:val="001865B1"/>
    <w:rsid w:val="001902C9"/>
    <w:rsid w:val="001903F2"/>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395"/>
    <w:rsid w:val="001A4AF8"/>
    <w:rsid w:val="001A4F3E"/>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6F1F"/>
    <w:rsid w:val="001C77FE"/>
    <w:rsid w:val="001C7A86"/>
    <w:rsid w:val="001D0328"/>
    <w:rsid w:val="001D134B"/>
    <w:rsid w:val="001D146D"/>
    <w:rsid w:val="001D178C"/>
    <w:rsid w:val="001D1AC4"/>
    <w:rsid w:val="001D1F06"/>
    <w:rsid w:val="001D263C"/>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1F59"/>
    <w:rsid w:val="001F29BD"/>
    <w:rsid w:val="001F31F0"/>
    <w:rsid w:val="001F3438"/>
    <w:rsid w:val="001F37F5"/>
    <w:rsid w:val="001F395A"/>
    <w:rsid w:val="001F419A"/>
    <w:rsid w:val="001F4EFB"/>
    <w:rsid w:val="001F5E69"/>
    <w:rsid w:val="001F6187"/>
    <w:rsid w:val="001F6251"/>
    <w:rsid w:val="001F6A63"/>
    <w:rsid w:val="001F6FEF"/>
    <w:rsid w:val="001F7A85"/>
    <w:rsid w:val="002002CC"/>
    <w:rsid w:val="002011EA"/>
    <w:rsid w:val="0020139A"/>
    <w:rsid w:val="002017C6"/>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2BD0"/>
    <w:rsid w:val="00223684"/>
    <w:rsid w:val="00223925"/>
    <w:rsid w:val="00223D18"/>
    <w:rsid w:val="00224F0F"/>
    <w:rsid w:val="00225432"/>
    <w:rsid w:val="00226398"/>
    <w:rsid w:val="00226D73"/>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37DDF"/>
    <w:rsid w:val="00240375"/>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93B"/>
    <w:rsid w:val="00255D5F"/>
    <w:rsid w:val="00257F0E"/>
    <w:rsid w:val="002600F1"/>
    <w:rsid w:val="0026041E"/>
    <w:rsid w:val="00260B85"/>
    <w:rsid w:val="00261813"/>
    <w:rsid w:val="002636CD"/>
    <w:rsid w:val="00263BB9"/>
    <w:rsid w:val="00264682"/>
    <w:rsid w:val="0026475A"/>
    <w:rsid w:val="00264A32"/>
    <w:rsid w:val="00264AC4"/>
    <w:rsid w:val="00264F2E"/>
    <w:rsid w:val="002650D2"/>
    <w:rsid w:val="00265481"/>
    <w:rsid w:val="00265A8B"/>
    <w:rsid w:val="002663BB"/>
    <w:rsid w:val="0026665C"/>
    <w:rsid w:val="00270447"/>
    <w:rsid w:val="002706C5"/>
    <w:rsid w:val="002714BE"/>
    <w:rsid w:val="00271E72"/>
    <w:rsid w:val="00272FA2"/>
    <w:rsid w:val="00274404"/>
    <w:rsid w:val="00274A8C"/>
    <w:rsid w:val="00275293"/>
    <w:rsid w:val="00275336"/>
    <w:rsid w:val="00276605"/>
    <w:rsid w:val="00276678"/>
    <w:rsid w:val="00277919"/>
    <w:rsid w:val="00277C28"/>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4E47"/>
    <w:rsid w:val="002B5383"/>
    <w:rsid w:val="002B5B4B"/>
    <w:rsid w:val="002B6E30"/>
    <w:rsid w:val="002B75B4"/>
    <w:rsid w:val="002B75E2"/>
    <w:rsid w:val="002B7A5D"/>
    <w:rsid w:val="002C1F6E"/>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1AA"/>
    <w:rsid w:val="002D78B9"/>
    <w:rsid w:val="002D7A41"/>
    <w:rsid w:val="002E0186"/>
    <w:rsid w:val="002E0C7B"/>
    <w:rsid w:val="002E1524"/>
    <w:rsid w:val="002E24C0"/>
    <w:rsid w:val="002E38C0"/>
    <w:rsid w:val="002E3B28"/>
    <w:rsid w:val="002E3CE4"/>
    <w:rsid w:val="002E421D"/>
    <w:rsid w:val="002E4BCA"/>
    <w:rsid w:val="002E555E"/>
    <w:rsid w:val="002E597E"/>
    <w:rsid w:val="002E5E2A"/>
    <w:rsid w:val="002E60CB"/>
    <w:rsid w:val="002E6CD6"/>
    <w:rsid w:val="002F023E"/>
    <w:rsid w:val="002F045E"/>
    <w:rsid w:val="002F13E5"/>
    <w:rsid w:val="002F1455"/>
    <w:rsid w:val="002F2197"/>
    <w:rsid w:val="002F3C1C"/>
    <w:rsid w:val="002F4BBF"/>
    <w:rsid w:val="002F50E3"/>
    <w:rsid w:val="002F5867"/>
    <w:rsid w:val="002F612D"/>
    <w:rsid w:val="002F689E"/>
    <w:rsid w:val="002F69E7"/>
    <w:rsid w:val="002F7CAD"/>
    <w:rsid w:val="003002A1"/>
    <w:rsid w:val="003002A8"/>
    <w:rsid w:val="00300835"/>
    <w:rsid w:val="00300850"/>
    <w:rsid w:val="00300DBE"/>
    <w:rsid w:val="00301117"/>
    <w:rsid w:val="003011EF"/>
    <w:rsid w:val="0030145C"/>
    <w:rsid w:val="0030192B"/>
    <w:rsid w:val="003022D4"/>
    <w:rsid w:val="003023AA"/>
    <w:rsid w:val="00302418"/>
    <w:rsid w:val="00302D54"/>
    <w:rsid w:val="003030C8"/>
    <w:rsid w:val="00303102"/>
    <w:rsid w:val="003032B5"/>
    <w:rsid w:val="003038F6"/>
    <w:rsid w:val="00303C5C"/>
    <w:rsid w:val="003042BC"/>
    <w:rsid w:val="003044F8"/>
    <w:rsid w:val="00305FDA"/>
    <w:rsid w:val="0030653A"/>
    <w:rsid w:val="003074D7"/>
    <w:rsid w:val="00307967"/>
    <w:rsid w:val="00307ACB"/>
    <w:rsid w:val="003101DA"/>
    <w:rsid w:val="00310394"/>
    <w:rsid w:val="00310759"/>
    <w:rsid w:val="00310CA8"/>
    <w:rsid w:val="00312996"/>
    <w:rsid w:val="00312E2B"/>
    <w:rsid w:val="00312F8B"/>
    <w:rsid w:val="00314308"/>
    <w:rsid w:val="003149B1"/>
    <w:rsid w:val="00315142"/>
    <w:rsid w:val="00315AAE"/>
    <w:rsid w:val="00315E1B"/>
    <w:rsid w:val="003167BA"/>
    <w:rsid w:val="0031699D"/>
    <w:rsid w:val="00316C0E"/>
    <w:rsid w:val="00317739"/>
    <w:rsid w:val="00320B9C"/>
    <w:rsid w:val="0032127F"/>
    <w:rsid w:val="00321469"/>
    <w:rsid w:val="003234BF"/>
    <w:rsid w:val="00323739"/>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36AD"/>
    <w:rsid w:val="003453D0"/>
    <w:rsid w:val="00345597"/>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CC0"/>
    <w:rsid w:val="00360338"/>
    <w:rsid w:val="0036132D"/>
    <w:rsid w:val="003613CC"/>
    <w:rsid w:val="00363CD4"/>
    <w:rsid w:val="00364FE7"/>
    <w:rsid w:val="00365020"/>
    <w:rsid w:val="00367175"/>
    <w:rsid w:val="003679CB"/>
    <w:rsid w:val="0037146C"/>
    <w:rsid w:val="0037165D"/>
    <w:rsid w:val="00371892"/>
    <w:rsid w:val="00372001"/>
    <w:rsid w:val="00372196"/>
    <w:rsid w:val="003721B6"/>
    <w:rsid w:val="00372F93"/>
    <w:rsid w:val="00373170"/>
    <w:rsid w:val="00373BBB"/>
    <w:rsid w:val="00373D3B"/>
    <w:rsid w:val="00374FE6"/>
    <w:rsid w:val="00375655"/>
    <w:rsid w:val="00375C86"/>
    <w:rsid w:val="00376A8E"/>
    <w:rsid w:val="0037754C"/>
    <w:rsid w:val="003779DB"/>
    <w:rsid w:val="00381171"/>
    <w:rsid w:val="003826A9"/>
    <w:rsid w:val="0038271F"/>
    <w:rsid w:val="00382A68"/>
    <w:rsid w:val="00382CF8"/>
    <w:rsid w:val="00382FE7"/>
    <w:rsid w:val="00383B79"/>
    <w:rsid w:val="00383BD7"/>
    <w:rsid w:val="00383F27"/>
    <w:rsid w:val="003851C3"/>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1D7D"/>
    <w:rsid w:val="003C3D74"/>
    <w:rsid w:val="003C4320"/>
    <w:rsid w:val="003C46A2"/>
    <w:rsid w:val="003C5313"/>
    <w:rsid w:val="003C5611"/>
    <w:rsid w:val="003C59B5"/>
    <w:rsid w:val="003C5A0F"/>
    <w:rsid w:val="003C5E7B"/>
    <w:rsid w:val="003C6FD2"/>
    <w:rsid w:val="003C7414"/>
    <w:rsid w:val="003C7808"/>
    <w:rsid w:val="003D0EB4"/>
    <w:rsid w:val="003D204B"/>
    <w:rsid w:val="003D23A3"/>
    <w:rsid w:val="003D25C9"/>
    <w:rsid w:val="003D2974"/>
    <w:rsid w:val="003D3561"/>
    <w:rsid w:val="003D3608"/>
    <w:rsid w:val="003D402D"/>
    <w:rsid w:val="003D47DA"/>
    <w:rsid w:val="003D63C2"/>
    <w:rsid w:val="003D65C5"/>
    <w:rsid w:val="003D6912"/>
    <w:rsid w:val="003D6AFC"/>
    <w:rsid w:val="003D6BE5"/>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6193"/>
    <w:rsid w:val="003F04C9"/>
    <w:rsid w:val="003F0EF0"/>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0D0"/>
    <w:rsid w:val="00405E0D"/>
    <w:rsid w:val="00406A87"/>
    <w:rsid w:val="0040769C"/>
    <w:rsid w:val="00407B6E"/>
    <w:rsid w:val="00407F28"/>
    <w:rsid w:val="00410013"/>
    <w:rsid w:val="00410047"/>
    <w:rsid w:val="00410474"/>
    <w:rsid w:val="00410A40"/>
    <w:rsid w:val="00411624"/>
    <w:rsid w:val="00411CFF"/>
    <w:rsid w:val="004123B9"/>
    <w:rsid w:val="004124D5"/>
    <w:rsid w:val="00413092"/>
    <w:rsid w:val="00413E36"/>
    <w:rsid w:val="004144DE"/>
    <w:rsid w:val="00414B30"/>
    <w:rsid w:val="00414E7B"/>
    <w:rsid w:val="00414FB7"/>
    <w:rsid w:val="00415840"/>
    <w:rsid w:val="00416206"/>
    <w:rsid w:val="004168C6"/>
    <w:rsid w:val="00416AB4"/>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B92"/>
    <w:rsid w:val="00455C70"/>
    <w:rsid w:val="00456E03"/>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110"/>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02F"/>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29E4"/>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2AEA"/>
    <w:rsid w:val="004E30F2"/>
    <w:rsid w:val="004E334F"/>
    <w:rsid w:val="004E44CE"/>
    <w:rsid w:val="004E45DD"/>
    <w:rsid w:val="004E523C"/>
    <w:rsid w:val="004E53DB"/>
    <w:rsid w:val="004E561E"/>
    <w:rsid w:val="004E58C1"/>
    <w:rsid w:val="004E59D7"/>
    <w:rsid w:val="004E622F"/>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4F6C60"/>
    <w:rsid w:val="00500218"/>
    <w:rsid w:val="005005DF"/>
    <w:rsid w:val="00501101"/>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5386"/>
    <w:rsid w:val="00517720"/>
    <w:rsid w:val="00517841"/>
    <w:rsid w:val="00517ED0"/>
    <w:rsid w:val="005201A7"/>
    <w:rsid w:val="005203FD"/>
    <w:rsid w:val="005206C1"/>
    <w:rsid w:val="005225BB"/>
    <w:rsid w:val="00522DE3"/>
    <w:rsid w:val="005235C5"/>
    <w:rsid w:val="00523BBD"/>
    <w:rsid w:val="00524265"/>
    <w:rsid w:val="005249CD"/>
    <w:rsid w:val="00524B9F"/>
    <w:rsid w:val="005253B3"/>
    <w:rsid w:val="0052708A"/>
    <w:rsid w:val="00527FA1"/>
    <w:rsid w:val="005301C1"/>
    <w:rsid w:val="00531A5A"/>
    <w:rsid w:val="00531D15"/>
    <w:rsid w:val="00532766"/>
    <w:rsid w:val="00532A2E"/>
    <w:rsid w:val="00532D05"/>
    <w:rsid w:val="00532EBB"/>
    <w:rsid w:val="00533380"/>
    <w:rsid w:val="00533D95"/>
    <w:rsid w:val="00534C18"/>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5CD6"/>
    <w:rsid w:val="00547E29"/>
    <w:rsid w:val="00547FE3"/>
    <w:rsid w:val="00550440"/>
    <w:rsid w:val="005515A1"/>
    <w:rsid w:val="0055176A"/>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47EC"/>
    <w:rsid w:val="00565228"/>
    <w:rsid w:val="00565E44"/>
    <w:rsid w:val="00566030"/>
    <w:rsid w:val="00566366"/>
    <w:rsid w:val="005666C1"/>
    <w:rsid w:val="00566908"/>
    <w:rsid w:val="005706F1"/>
    <w:rsid w:val="00570889"/>
    <w:rsid w:val="00570E0F"/>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8ED"/>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4C99"/>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5C92"/>
    <w:rsid w:val="005A70C5"/>
    <w:rsid w:val="005A7E15"/>
    <w:rsid w:val="005B04F9"/>
    <w:rsid w:val="005B054E"/>
    <w:rsid w:val="005B0DF9"/>
    <w:rsid w:val="005B1CD9"/>
    <w:rsid w:val="005B244E"/>
    <w:rsid w:val="005B27E6"/>
    <w:rsid w:val="005B2950"/>
    <w:rsid w:val="005B3C65"/>
    <w:rsid w:val="005B3CB3"/>
    <w:rsid w:val="005B4066"/>
    <w:rsid w:val="005B49EC"/>
    <w:rsid w:val="005B582A"/>
    <w:rsid w:val="005B6CB2"/>
    <w:rsid w:val="005B7593"/>
    <w:rsid w:val="005C04CC"/>
    <w:rsid w:val="005C0F8F"/>
    <w:rsid w:val="005C259A"/>
    <w:rsid w:val="005C2C33"/>
    <w:rsid w:val="005C41B0"/>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68A"/>
    <w:rsid w:val="00604D69"/>
    <w:rsid w:val="0060511D"/>
    <w:rsid w:val="006053AD"/>
    <w:rsid w:val="00605630"/>
    <w:rsid w:val="00606075"/>
    <w:rsid w:val="00610200"/>
    <w:rsid w:val="00610837"/>
    <w:rsid w:val="00611390"/>
    <w:rsid w:val="00611CB2"/>
    <w:rsid w:val="0061295C"/>
    <w:rsid w:val="00612AFE"/>
    <w:rsid w:val="00613362"/>
    <w:rsid w:val="006160B8"/>
    <w:rsid w:val="00616706"/>
    <w:rsid w:val="006168AB"/>
    <w:rsid w:val="00616C15"/>
    <w:rsid w:val="00616C65"/>
    <w:rsid w:val="00617752"/>
    <w:rsid w:val="006177BC"/>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2CBD"/>
    <w:rsid w:val="00633770"/>
    <w:rsid w:val="006339C3"/>
    <w:rsid w:val="00633C15"/>
    <w:rsid w:val="006341A0"/>
    <w:rsid w:val="006343C3"/>
    <w:rsid w:val="00634779"/>
    <w:rsid w:val="00634B88"/>
    <w:rsid w:val="00634FFE"/>
    <w:rsid w:val="006352FA"/>
    <w:rsid w:val="00635683"/>
    <w:rsid w:val="00636D0D"/>
    <w:rsid w:val="006373F4"/>
    <w:rsid w:val="006406CA"/>
    <w:rsid w:val="0064152C"/>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566C"/>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501"/>
    <w:rsid w:val="006D6926"/>
    <w:rsid w:val="006D6F9D"/>
    <w:rsid w:val="006D7469"/>
    <w:rsid w:val="006D7553"/>
    <w:rsid w:val="006E04F0"/>
    <w:rsid w:val="006E1EC5"/>
    <w:rsid w:val="006E2B29"/>
    <w:rsid w:val="006E2B85"/>
    <w:rsid w:val="006E3C01"/>
    <w:rsid w:val="006E3D7D"/>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12"/>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07F62"/>
    <w:rsid w:val="00710668"/>
    <w:rsid w:val="00710752"/>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47C"/>
    <w:rsid w:val="00724612"/>
    <w:rsid w:val="00725273"/>
    <w:rsid w:val="0072534A"/>
    <w:rsid w:val="007257F0"/>
    <w:rsid w:val="007258EA"/>
    <w:rsid w:val="0072615C"/>
    <w:rsid w:val="007265B5"/>
    <w:rsid w:val="00726A58"/>
    <w:rsid w:val="00726D85"/>
    <w:rsid w:val="00727F15"/>
    <w:rsid w:val="007301AE"/>
    <w:rsid w:val="00731839"/>
    <w:rsid w:val="00731B5B"/>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C6F"/>
    <w:rsid w:val="00746AD3"/>
    <w:rsid w:val="00746FA8"/>
    <w:rsid w:val="0074733C"/>
    <w:rsid w:val="00750234"/>
    <w:rsid w:val="007504FA"/>
    <w:rsid w:val="007505E9"/>
    <w:rsid w:val="00750DD0"/>
    <w:rsid w:val="0075111B"/>
    <w:rsid w:val="00751BCE"/>
    <w:rsid w:val="00753F92"/>
    <w:rsid w:val="00754FEC"/>
    <w:rsid w:val="0075564C"/>
    <w:rsid w:val="007558AB"/>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DF3"/>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B5F"/>
    <w:rsid w:val="00783D25"/>
    <w:rsid w:val="00783F6B"/>
    <w:rsid w:val="0078429E"/>
    <w:rsid w:val="007869D4"/>
    <w:rsid w:val="00787482"/>
    <w:rsid w:val="00787612"/>
    <w:rsid w:val="00787D20"/>
    <w:rsid w:val="00791065"/>
    <w:rsid w:val="00791684"/>
    <w:rsid w:val="00793067"/>
    <w:rsid w:val="0079323E"/>
    <w:rsid w:val="00793CC9"/>
    <w:rsid w:val="00794613"/>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66B"/>
    <w:rsid w:val="007B5933"/>
    <w:rsid w:val="007B5ACE"/>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631C"/>
    <w:rsid w:val="007D73E8"/>
    <w:rsid w:val="007E0242"/>
    <w:rsid w:val="007E08E5"/>
    <w:rsid w:val="007E0E6D"/>
    <w:rsid w:val="007E1828"/>
    <w:rsid w:val="007E1EB5"/>
    <w:rsid w:val="007E21E4"/>
    <w:rsid w:val="007E2732"/>
    <w:rsid w:val="007E2CD2"/>
    <w:rsid w:val="007E312D"/>
    <w:rsid w:val="007E38BB"/>
    <w:rsid w:val="007E3FBB"/>
    <w:rsid w:val="007E554A"/>
    <w:rsid w:val="007E56F7"/>
    <w:rsid w:val="007E6FCE"/>
    <w:rsid w:val="007E7BD1"/>
    <w:rsid w:val="007F001D"/>
    <w:rsid w:val="007F0549"/>
    <w:rsid w:val="007F1D4E"/>
    <w:rsid w:val="007F2670"/>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2AFD"/>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3E00"/>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08E"/>
    <w:rsid w:val="008616CE"/>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04AF"/>
    <w:rsid w:val="0087265A"/>
    <w:rsid w:val="00874ADE"/>
    <w:rsid w:val="00876FDB"/>
    <w:rsid w:val="008773AC"/>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156"/>
    <w:rsid w:val="00891C3F"/>
    <w:rsid w:val="00891DB9"/>
    <w:rsid w:val="00892106"/>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A7E6D"/>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E80"/>
    <w:rsid w:val="008D0F9C"/>
    <w:rsid w:val="008D14C6"/>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462"/>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2BB6"/>
    <w:rsid w:val="009231BF"/>
    <w:rsid w:val="0092400C"/>
    <w:rsid w:val="009240EA"/>
    <w:rsid w:val="009242F6"/>
    <w:rsid w:val="009244A2"/>
    <w:rsid w:val="00924A34"/>
    <w:rsid w:val="00925D9E"/>
    <w:rsid w:val="00925DB9"/>
    <w:rsid w:val="009261A0"/>
    <w:rsid w:val="00927C8E"/>
    <w:rsid w:val="00930AD5"/>
    <w:rsid w:val="00930CDC"/>
    <w:rsid w:val="00931A6C"/>
    <w:rsid w:val="00931D26"/>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5088"/>
    <w:rsid w:val="00965243"/>
    <w:rsid w:val="00965E5D"/>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8F"/>
    <w:rsid w:val="00990337"/>
    <w:rsid w:val="00990757"/>
    <w:rsid w:val="00990974"/>
    <w:rsid w:val="009910C5"/>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74B"/>
    <w:rsid w:val="009A2EC3"/>
    <w:rsid w:val="009A313C"/>
    <w:rsid w:val="009A314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44DB"/>
    <w:rsid w:val="009C4F13"/>
    <w:rsid w:val="009C6962"/>
    <w:rsid w:val="009C7A56"/>
    <w:rsid w:val="009D034D"/>
    <w:rsid w:val="009D093B"/>
    <w:rsid w:val="009D26F3"/>
    <w:rsid w:val="009D2CFF"/>
    <w:rsid w:val="009D30A1"/>
    <w:rsid w:val="009D3A4C"/>
    <w:rsid w:val="009D426C"/>
    <w:rsid w:val="009D4466"/>
    <w:rsid w:val="009D59C5"/>
    <w:rsid w:val="009D60A6"/>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4CCF"/>
    <w:rsid w:val="00A0520B"/>
    <w:rsid w:val="00A05FF6"/>
    <w:rsid w:val="00A06043"/>
    <w:rsid w:val="00A06621"/>
    <w:rsid w:val="00A06A65"/>
    <w:rsid w:val="00A072F5"/>
    <w:rsid w:val="00A07343"/>
    <w:rsid w:val="00A079EA"/>
    <w:rsid w:val="00A10D0D"/>
    <w:rsid w:val="00A11CA1"/>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34DD6"/>
    <w:rsid w:val="00A35211"/>
    <w:rsid w:val="00A4233F"/>
    <w:rsid w:val="00A4251F"/>
    <w:rsid w:val="00A42658"/>
    <w:rsid w:val="00A42EF4"/>
    <w:rsid w:val="00A4397E"/>
    <w:rsid w:val="00A45105"/>
    <w:rsid w:val="00A4615F"/>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701CE"/>
    <w:rsid w:val="00A707DC"/>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A51"/>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393"/>
    <w:rsid w:val="00AA1667"/>
    <w:rsid w:val="00AA1842"/>
    <w:rsid w:val="00AA1BB3"/>
    <w:rsid w:val="00AA35A8"/>
    <w:rsid w:val="00AA421E"/>
    <w:rsid w:val="00AA42DD"/>
    <w:rsid w:val="00AA51D1"/>
    <w:rsid w:val="00AA59A3"/>
    <w:rsid w:val="00AA6547"/>
    <w:rsid w:val="00AB0229"/>
    <w:rsid w:val="00AB057B"/>
    <w:rsid w:val="00AB081A"/>
    <w:rsid w:val="00AB1146"/>
    <w:rsid w:val="00AB1DD9"/>
    <w:rsid w:val="00AB1E3D"/>
    <w:rsid w:val="00AB260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6F57"/>
    <w:rsid w:val="00AE772B"/>
    <w:rsid w:val="00AE773C"/>
    <w:rsid w:val="00AE7EB9"/>
    <w:rsid w:val="00AF1F0B"/>
    <w:rsid w:val="00AF21C8"/>
    <w:rsid w:val="00AF289D"/>
    <w:rsid w:val="00AF34A4"/>
    <w:rsid w:val="00AF3615"/>
    <w:rsid w:val="00AF399B"/>
    <w:rsid w:val="00AF46C1"/>
    <w:rsid w:val="00AF534C"/>
    <w:rsid w:val="00AF63EA"/>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615"/>
    <w:rsid w:val="00B106ED"/>
    <w:rsid w:val="00B10BB8"/>
    <w:rsid w:val="00B111C7"/>
    <w:rsid w:val="00B116A0"/>
    <w:rsid w:val="00B12884"/>
    <w:rsid w:val="00B12D30"/>
    <w:rsid w:val="00B13E06"/>
    <w:rsid w:val="00B140A7"/>
    <w:rsid w:val="00B14BD3"/>
    <w:rsid w:val="00B1569F"/>
    <w:rsid w:val="00B15B0F"/>
    <w:rsid w:val="00B161DE"/>
    <w:rsid w:val="00B16C24"/>
    <w:rsid w:val="00B173D9"/>
    <w:rsid w:val="00B17F2B"/>
    <w:rsid w:val="00B216DA"/>
    <w:rsid w:val="00B23697"/>
    <w:rsid w:val="00B23A3A"/>
    <w:rsid w:val="00B23ACD"/>
    <w:rsid w:val="00B23F44"/>
    <w:rsid w:val="00B2460C"/>
    <w:rsid w:val="00B24943"/>
    <w:rsid w:val="00B24979"/>
    <w:rsid w:val="00B24CAA"/>
    <w:rsid w:val="00B2652A"/>
    <w:rsid w:val="00B2723C"/>
    <w:rsid w:val="00B27BC1"/>
    <w:rsid w:val="00B32234"/>
    <w:rsid w:val="00B32930"/>
    <w:rsid w:val="00B33CAA"/>
    <w:rsid w:val="00B3711E"/>
    <w:rsid w:val="00B374C2"/>
    <w:rsid w:val="00B3780E"/>
    <w:rsid w:val="00B37CE2"/>
    <w:rsid w:val="00B448F8"/>
    <w:rsid w:val="00B4492F"/>
    <w:rsid w:val="00B46ECF"/>
    <w:rsid w:val="00B4707C"/>
    <w:rsid w:val="00B50AB1"/>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21"/>
    <w:rsid w:val="00B67FC2"/>
    <w:rsid w:val="00B7017C"/>
    <w:rsid w:val="00B7032D"/>
    <w:rsid w:val="00B70638"/>
    <w:rsid w:val="00B70A99"/>
    <w:rsid w:val="00B70ECD"/>
    <w:rsid w:val="00B711ED"/>
    <w:rsid w:val="00B72049"/>
    <w:rsid w:val="00B7238A"/>
    <w:rsid w:val="00B7288D"/>
    <w:rsid w:val="00B73114"/>
    <w:rsid w:val="00B7370A"/>
    <w:rsid w:val="00B749FA"/>
    <w:rsid w:val="00B74D2E"/>
    <w:rsid w:val="00B80423"/>
    <w:rsid w:val="00B81FA1"/>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5EB"/>
    <w:rsid w:val="00BC0AC5"/>
    <w:rsid w:val="00BC0F4D"/>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92B"/>
    <w:rsid w:val="00BD7A6D"/>
    <w:rsid w:val="00BD7C5E"/>
    <w:rsid w:val="00BE4603"/>
    <w:rsid w:val="00BE4719"/>
    <w:rsid w:val="00BE5C38"/>
    <w:rsid w:val="00BE5ED6"/>
    <w:rsid w:val="00BE65DB"/>
    <w:rsid w:val="00BF02B4"/>
    <w:rsid w:val="00BF0775"/>
    <w:rsid w:val="00BF092D"/>
    <w:rsid w:val="00BF1792"/>
    <w:rsid w:val="00BF2451"/>
    <w:rsid w:val="00BF284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3F81"/>
    <w:rsid w:val="00C152C6"/>
    <w:rsid w:val="00C1537E"/>
    <w:rsid w:val="00C16216"/>
    <w:rsid w:val="00C171E6"/>
    <w:rsid w:val="00C20CBB"/>
    <w:rsid w:val="00C20D41"/>
    <w:rsid w:val="00C214DA"/>
    <w:rsid w:val="00C21DE6"/>
    <w:rsid w:val="00C237AB"/>
    <w:rsid w:val="00C23A2C"/>
    <w:rsid w:val="00C23CC5"/>
    <w:rsid w:val="00C24035"/>
    <w:rsid w:val="00C24F5D"/>
    <w:rsid w:val="00C24FF8"/>
    <w:rsid w:val="00C25B74"/>
    <w:rsid w:val="00C25FCB"/>
    <w:rsid w:val="00C261A8"/>
    <w:rsid w:val="00C262D6"/>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6913"/>
    <w:rsid w:val="00C57422"/>
    <w:rsid w:val="00C6069A"/>
    <w:rsid w:val="00C607E6"/>
    <w:rsid w:val="00C60984"/>
    <w:rsid w:val="00C6176D"/>
    <w:rsid w:val="00C61834"/>
    <w:rsid w:val="00C61D3B"/>
    <w:rsid w:val="00C627E2"/>
    <w:rsid w:val="00C64490"/>
    <w:rsid w:val="00C64AD2"/>
    <w:rsid w:val="00C65D1B"/>
    <w:rsid w:val="00C6607B"/>
    <w:rsid w:val="00C708F4"/>
    <w:rsid w:val="00C70D57"/>
    <w:rsid w:val="00C712A6"/>
    <w:rsid w:val="00C728BC"/>
    <w:rsid w:val="00C72CE5"/>
    <w:rsid w:val="00C7361F"/>
    <w:rsid w:val="00C73A28"/>
    <w:rsid w:val="00C74114"/>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4FE"/>
    <w:rsid w:val="00C94A68"/>
    <w:rsid w:val="00C94BEC"/>
    <w:rsid w:val="00C95665"/>
    <w:rsid w:val="00C95DB1"/>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7B4"/>
    <w:rsid w:val="00CD2C55"/>
    <w:rsid w:val="00CD2FF3"/>
    <w:rsid w:val="00CD3A46"/>
    <w:rsid w:val="00CD3AE5"/>
    <w:rsid w:val="00CD3EE8"/>
    <w:rsid w:val="00CD4608"/>
    <w:rsid w:val="00CD51C2"/>
    <w:rsid w:val="00CD5DB2"/>
    <w:rsid w:val="00CD7BCD"/>
    <w:rsid w:val="00CE10DD"/>
    <w:rsid w:val="00CE1C20"/>
    <w:rsid w:val="00CE1F0E"/>
    <w:rsid w:val="00CE20BC"/>
    <w:rsid w:val="00CE2F6E"/>
    <w:rsid w:val="00CE37BD"/>
    <w:rsid w:val="00CE3965"/>
    <w:rsid w:val="00CE3CE9"/>
    <w:rsid w:val="00CE3D7C"/>
    <w:rsid w:val="00CE4615"/>
    <w:rsid w:val="00CE4711"/>
    <w:rsid w:val="00CE4723"/>
    <w:rsid w:val="00CE52BA"/>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4CF4"/>
    <w:rsid w:val="00D176C8"/>
    <w:rsid w:val="00D17D3E"/>
    <w:rsid w:val="00D20113"/>
    <w:rsid w:val="00D206F5"/>
    <w:rsid w:val="00D20BC3"/>
    <w:rsid w:val="00D2166C"/>
    <w:rsid w:val="00D22054"/>
    <w:rsid w:val="00D226AC"/>
    <w:rsid w:val="00D229A1"/>
    <w:rsid w:val="00D231BC"/>
    <w:rsid w:val="00D23B93"/>
    <w:rsid w:val="00D23D28"/>
    <w:rsid w:val="00D23E25"/>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C70"/>
    <w:rsid w:val="00D50F2C"/>
    <w:rsid w:val="00D519F0"/>
    <w:rsid w:val="00D51F19"/>
    <w:rsid w:val="00D51F3D"/>
    <w:rsid w:val="00D526BC"/>
    <w:rsid w:val="00D532AA"/>
    <w:rsid w:val="00D53AA6"/>
    <w:rsid w:val="00D55BCD"/>
    <w:rsid w:val="00D55DC3"/>
    <w:rsid w:val="00D567EC"/>
    <w:rsid w:val="00D568D7"/>
    <w:rsid w:val="00D56D52"/>
    <w:rsid w:val="00D56F3C"/>
    <w:rsid w:val="00D57A9E"/>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DBF"/>
    <w:rsid w:val="00DA0EE7"/>
    <w:rsid w:val="00DA1222"/>
    <w:rsid w:val="00DA156C"/>
    <w:rsid w:val="00DA187A"/>
    <w:rsid w:val="00DA1A13"/>
    <w:rsid w:val="00DA3196"/>
    <w:rsid w:val="00DA3B3E"/>
    <w:rsid w:val="00DA4306"/>
    <w:rsid w:val="00DA5D9C"/>
    <w:rsid w:val="00DA6C32"/>
    <w:rsid w:val="00DA72A9"/>
    <w:rsid w:val="00DB0F01"/>
    <w:rsid w:val="00DB140D"/>
    <w:rsid w:val="00DB1B91"/>
    <w:rsid w:val="00DB1E86"/>
    <w:rsid w:val="00DB2F60"/>
    <w:rsid w:val="00DB4D64"/>
    <w:rsid w:val="00DB5665"/>
    <w:rsid w:val="00DB701E"/>
    <w:rsid w:val="00DB7CF2"/>
    <w:rsid w:val="00DC0723"/>
    <w:rsid w:val="00DC15CE"/>
    <w:rsid w:val="00DC1C95"/>
    <w:rsid w:val="00DC2ABD"/>
    <w:rsid w:val="00DC2F66"/>
    <w:rsid w:val="00DC3B37"/>
    <w:rsid w:val="00DC43A9"/>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30C"/>
    <w:rsid w:val="00DE4671"/>
    <w:rsid w:val="00DE4936"/>
    <w:rsid w:val="00DE5326"/>
    <w:rsid w:val="00DE5AC9"/>
    <w:rsid w:val="00DE6407"/>
    <w:rsid w:val="00DF0A15"/>
    <w:rsid w:val="00DF0E2B"/>
    <w:rsid w:val="00DF16A8"/>
    <w:rsid w:val="00DF2ED0"/>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0BEC"/>
    <w:rsid w:val="00E11153"/>
    <w:rsid w:val="00E1158C"/>
    <w:rsid w:val="00E1254D"/>
    <w:rsid w:val="00E13787"/>
    <w:rsid w:val="00E13A27"/>
    <w:rsid w:val="00E171D1"/>
    <w:rsid w:val="00E20207"/>
    <w:rsid w:val="00E204C0"/>
    <w:rsid w:val="00E212A7"/>
    <w:rsid w:val="00E21597"/>
    <w:rsid w:val="00E216D5"/>
    <w:rsid w:val="00E223E8"/>
    <w:rsid w:val="00E22608"/>
    <w:rsid w:val="00E22E13"/>
    <w:rsid w:val="00E233B4"/>
    <w:rsid w:val="00E2364A"/>
    <w:rsid w:val="00E239ED"/>
    <w:rsid w:val="00E23A5D"/>
    <w:rsid w:val="00E23EA9"/>
    <w:rsid w:val="00E2438A"/>
    <w:rsid w:val="00E26137"/>
    <w:rsid w:val="00E268A4"/>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71A"/>
    <w:rsid w:val="00E41AE0"/>
    <w:rsid w:val="00E41E02"/>
    <w:rsid w:val="00E42E95"/>
    <w:rsid w:val="00E4314E"/>
    <w:rsid w:val="00E43E59"/>
    <w:rsid w:val="00E44A8A"/>
    <w:rsid w:val="00E45292"/>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6092"/>
    <w:rsid w:val="00E56674"/>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24BA"/>
    <w:rsid w:val="00E92751"/>
    <w:rsid w:val="00E92BC6"/>
    <w:rsid w:val="00E93D81"/>
    <w:rsid w:val="00E9465F"/>
    <w:rsid w:val="00E949DA"/>
    <w:rsid w:val="00E957A3"/>
    <w:rsid w:val="00E95F35"/>
    <w:rsid w:val="00E961A7"/>
    <w:rsid w:val="00E961AE"/>
    <w:rsid w:val="00E96D94"/>
    <w:rsid w:val="00E96EE1"/>
    <w:rsid w:val="00E9719F"/>
    <w:rsid w:val="00E97D4F"/>
    <w:rsid w:val="00E97DB5"/>
    <w:rsid w:val="00EA02B7"/>
    <w:rsid w:val="00EA0546"/>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2086"/>
    <w:rsid w:val="00EB32A6"/>
    <w:rsid w:val="00EB38BE"/>
    <w:rsid w:val="00EB3EEF"/>
    <w:rsid w:val="00EB3FD4"/>
    <w:rsid w:val="00EB4820"/>
    <w:rsid w:val="00EB66E2"/>
    <w:rsid w:val="00EB6DDA"/>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9DB"/>
    <w:rsid w:val="00EF6ECF"/>
    <w:rsid w:val="00EF7AD5"/>
    <w:rsid w:val="00EF7EC9"/>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968"/>
    <w:rsid w:val="00F26AF2"/>
    <w:rsid w:val="00F26B59"/>
    <w:rsid w:val="00F2715D"/>
    <w:rsid w:val="00F27532"/>
    <w:rsid w:val="00F2774B"/>
    <w:rsid w:val="00F30423"/>
    <w:rsid w:val="00F31079"/>
    <w:rsid w:val="00F31B60"/>
    <w:rsid w:val="00F31BC9"/>
    <w:rsid w:val="00F31D90"/>
    <w:rsid w:val="00F33491"/>
    <w:rsid w:val="00F351AA"/>
    <w:rsid w:val="00F3567D"/>
    <w:rsid w:val="00F36044"/>
    <w:rsid w:val="00F36FB7"/>
    <w:rsid w:val="00F378C2"/>
    <w:rsid w:val="00F4079F"/>
    <w:rsid w:val="00F408B7"/>
    <w:rsid w:val="00F425AA"/>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A38"/>
    <w:rsid w:val="00F50B52"/>
    <w:rsid w:val="00F510CE"/>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4D"/>
    <w:rsid w:val="00F81FA5"/>
    <w:rsid w:val="00F83361"/>
    <w:rsid w:val="00F83613"/>
    <w:rsid w:val="00F856EA"/>
    <w:rsid w:val="00F866EB"/>
    <w:rsid w:val="00F8740E"/>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246D"/>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D7B28"/>
    <w:rsid w:val="00FE0A8D"/>
    <w:rsid w:val="00FE0EBF"/>
    <w:rsid w:val="00FE4185"/>
    <w:rsid w:val="00FE4FF5"/>
    <w:rsid w:val="00FE5B67"/>
    <w:rsid w:val="00FE5DE9"/>
    <w:rsid w:val="00FE6783"/>
    <w:rsid w:val="00FF0397"/>
    <w:rsid w:val="00FF0FFA"/>
    <w:rsid w:val="00FF2720"/>
    <w:rsid w:val="00FF28EB"/>
    <w:rsid w:val="00FF32B9"/>
    <w:rsid w:val="00FF3926"/>
    <w:rsid w:val="00FF3A0D"/>
    <w:rsid w:val="00FF410A"/>
    <w:rsid w:val="00FF46B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qFormat="1"/>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5AA"/>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uiPriority w:val="99"/>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qFormat/>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 w:type="paragraph" w:customStyle="1" w:styleId="Note-Boxed">
    <w:name w:val="Note - Boxed"/>
    <w:basedOn w:val="Normal"/>
    <w:next w:val="Normal"/>
    <w:rsid w:val="00731B5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67E59-5D8F-4EFF-9228-8DFF26D9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 HiSilicon</cp:lastModifiedBy>
  <cp:revision>3</cp:revision>
  <dcterms:created xsi:type="dcterms:W3CDTF">2023-05-12T09:22:00Z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(3)wKtGgSl9VikVlzXYUq1kslQLqedHk//nl9hOdSvWK45+n9lQ5JW+5j6aBzwsp/+KpVK39Cw7
CTdTMRFV4UzZ/3ep+siFxIs9ysKK16Aoqd84dmSALEdnmA70E8GQzyr8EdftGuBwiiduEWGF
dc7shgF3trCnAuwBKCpcROyPbN3oFdqlr11W7XiOS0HnZgrQPtckrUAexd8H7anN1WGL7wk7
Uk0ZhR8ZolZiuhv1Ox</vt:lpwstr>
  </property>
  <property fmtid="{D5CDD505-2E9C-101B-9397-08002B2CF9AE}" pid="3" name="_2015_ms_pID_7253431">
    <vt:lpwstr>bnHjgQ6aJer85RJX653bQI+tAKZIE5WSYTlwkylJUqbyiFJfPTq95H
B/4MKhq1flm+shf8pp2qUiz0utglbiIZ4zbmYRRm/wlHJRfvr2ZxWdHgdGhR4q6GybV7mKQ6
hyiy5ixbz6mt9Xi21c5K/9Jmr1ACio7+NVd4F3of7UOYIWHshfbWJlKP8/vlnShzcWHSKbjE
cIkbJHHBpsUKPNkQVSFzkQrDCJcPd+J+JG0U</vt:lpwstr>
  </property>
  <property fmtid="{D5CDD505-2E9C-101B-9397-08002B2CF9AE}" pid="4" name="_2015_ms_pID_7253432">
    <vt:lpwstr>SQ==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